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E5" w:rsidRPr="004057B0" w:rsidRDefault="003D63E5" w:rsidP="003D63E5">
      <w:pPr>
        <w:spacing w:after="0" w:line="240" w:lineRule="auto"/>
        <w:ind w:firstLine="706"/>
        <w:jc w:val="right"/>
        <w:rPr>
          <w:rFonts w:ascii="Sylfaen" w:hAnsi="Sylfaen" w:cs="AcadNusx"/>
          <w:b/>
          <w:bCs/>
          <w:i/>
          <w:u w:val="single"/>
          <w:lang w:val="en-US"/>
        </w:rPr>
      </w:pPr>
      <w:r w:rsidRPr="003D63E5">
        <w:rPr>
          <w:rFonts w:ascii="Sylfaen" w:hAnsi="Sylfaen" w:cs="AcadNusx"/>
          <w:b/>
          <w:bCs/>
          <w:i/>
          <w:u w:val="single"/>
          <w:lang w:val="ka-GE"/>
        </w:rPr>
        <w:t xml:space="preserve">დანართი </w:t>
      </w:r>
      <w:r w:rsidR="004057B0">
        <w:rPr>
          <w:rFonts w:ascii="Sylfaen" w:hAnsi="Sylfaen" w:cs="AcadNusx"/>
          <w:b/>
          <w:bCs/>
          <w:i/>
          <w:u w:val="single"/>
          <w:lang w:val="en-US"/>
        </w:rPr>
        <w:t>3</w:t>
      </w:r>
    </w:p>
    <w:p w:rsidR="003D63E5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bCs/>
          <w:sz w:val="28"/>
          <w:szCs w:val="28"/>
          <w:u w:val="single"/>
          <w:lang w:val="ka-GE"/>
        </w:rPr>
      </w:pPr>
      <w:r w:rsidRPr="002008D4"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  <w:t>საქსტატის</w:t>
      </w:r>
      <w:r w:rsidRPr="002008D4">
        <w:rPr>
          <w:rFonts w:ascii="AcadNusx" w:hAnsi="AcadNusx" w:cs="AcadNusx"/>
          <w:b/>
          <w:bCs/>
          <w:sz w:val="28"/>
          <w:szCs w:val="28"/>
          <w:u w:val="single"/>
          <w:lang w:val="ka-GE"/>
        </w:rPr>
        <w:t xml:space="preserve"> </w:t>
      </w:r>
      <w:r w:rsidRPr="002008D4"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  <w:t>ძირითადი</w:t>
      </w:r>
      <w:r w:rsidRPr="002008D4">
        <w:rPr>
          <w:rFonts w:ascii="AcadNusx" w:hAnsi="AcadNusx" w:cs="AcadNusx"/>
          <w:b/>
          <w:bCs/>
          <w:sz w:val="28"/>
          <w:szCs w:val="28"/>
          <w:u w:val="single"/>
          <w:lang w:val="ka-GE"/>
        </w:rPr>
        <w:t xml:space="preserve"> </w:t>
      </w:r>
      <w:r w:rsidRPr="002008D4"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  <w:t>პროდუქტები</w:t>
      </w:r>
      <w:r w:rsidRPr="002008D4">
        <w:rPr>
          <w:rFonts w:ascii="AcadNusx" w:hAnsi="AcadNusx" w:cs="AcadNusx"/>
          <w:b/>
          <w:bCs/>
          <w:sz w:val="28"/>
          <w:szCs w:val="28"/>
          <w:u w:val="single"/>
          <w:lang w:val="ka-GE"/>
        </w:rPr>
        <w:t xml:space="preserve"> </w:t>
      </w:r>
      <w:r w:rsidRPr="002008D4"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  <w:t>და</w:t>
      </w:r>
      <w:r w:rsidRPr="002008D4">
        <w:rPr>
          <w:rFonts w:ascii="AcadNusx" w:hAnsi="AcadNusx" w:cs="AcadNusx"/>
          <w:b/>
          <w:bCs/>
          <w:sz w:val="28"/>
          <w:szCs w:val="28"/>
          <w:u w:val="single"/>
          <w:lang w:val="ka-GE"/>
        </w:rPr>
        <w:t xml:space="preserve"> </w:t>
      </w:r>
      <w:r w:rsidRPr="002008D4"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  <w:t>მეთოდოლოგია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ka-GE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ka-GE"/>
        </w:rPr>
      </w:pPr>
      <w:r w:rsidRPr="002008D4">
        <w:rPr>
          <w:rFonts w:ascii="AcadNusx" w:hAnsi="AcadNusx" w:cs="AcadNusx"/>
          <w:sz w:val="24"/>
          <w:szCs w:val="24"/>
          <w:lang w:val="ka-GE"/>
        </w:rPr>
        <w:tab/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კანონმდებლობის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შესაბამისად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სტატისტიკის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წარმოება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და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მისი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წარმოების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შედეგად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მიღებული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ინფორმაციის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გავრცელება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უნდა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შეესაბამებოდეს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სტანდარტებსა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და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გამოცდილებას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.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შესაბამისად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საქსტატი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მიერ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წარმოებულ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ყველა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სტატისტიკურ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კვლევაში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ხელმძღვანელობს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მეთოდოლოგიისა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და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სტანდარტების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შესაბამისად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სპეციალურად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შემუშავებული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და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დამტკიცებული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კითხვარებით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.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საქსტატის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მიერ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წარმოებული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ძირითადი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კვლევები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(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მათ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შედეგად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მიღებული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სტატისტიკური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მონაცემები/პროდუქტები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რაც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ოფიციალურ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წარმოადგენს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,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შემდეგია</w:t>
      </w:r>
      <w:r w:rsidRPr="002008D4">
        <w:rPr>
          <w:rFonts w:ascii="AcadNusx" w:hAnsi="AcadNusx" w:cs="AcadNusx"/>
          <w:sz w:val="24"/>
          <w:szCs w:val="24"/>
          <w:lang w:val="ka-GE"/>
        </w:rPr>
        <w:t>:</w:t>
      </w:r>
    </w:p>
    <w:p w:rsidR="003D63E5" w:rsidRPr="002008D4" w:rsidRDefault="003D63E5" w:rsidP="003D63E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ეროვნული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ანგარიშები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მთლიანი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შიდა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პროდუქტი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მთლიანი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ეროვნული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შემოსავალი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საგარეო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სექტორის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საქონლით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საგარეო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ვაჭრობა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lang w:val="ka-GE"/>
        </w:rPr>
        <w:t xml:space="preserve">პირდაპირი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უცხოური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ინვესტიციები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</w:p>
    <w:p w:rsidR="00C941CF" w:rsidRPr="00C941CF" w:rsidRDefault="00C941CF" w:rsidP="00C941CF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proofErr w:type="spellStart"/>
      <w:r w:rsidRPr="00C941CF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proofErr w:type="spellEnd"/>
      <w:r w:rsidRPr="00C941CF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proofErr w:type="spellStart"/>
      <w:r w:rsidRPr="00C941CF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proofErr w:type="spellEnd"/>
      <w:r w:rsidRPr="00C941CF">
        <w:rPr>
          <w:rFonts w:ascii="AcadNusx" w:hAnsi="AcadNusx" w:cs="AcadNusx"/>
          <w:sz w:val="24"/>
          <w:szCs w:val="24"/>
          <w:lang w:val="it-IT"/>
        </w:rPr>
        <w:t xml:space="preserve">: </w:t>
      </w:r>
      <w:proofErr w:type="spellStart"/>
      <w:r w:rsidRPr="00C941CF">
        <w:rPr>
          <w:rFonts w:ascii="Sylfaen" w:hAnsi="Sylfaen" w:cs="AcadNusx"/>
          <w:sz w:val="24"/>
          <w:szCs w:val="24"/>
          <w:u w:color="FF0000"/>
          <w:lang w:val="en-US"/>
        </w:rPr>
        <w:t>სამომხმარებლო</w:t>
      </w:r>
      <w:proofErr w:type="spellEnd"/>
      <w:r w:rsidRPr="00C941CF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proofErr w:type="spellStart"/>
      <w:r w:rsidRPr="00C941CF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proofErr w:type="spellEnd"/>
      <w:r w:rsidRPr="00C941CF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proofErr w:type="spellStart"/>
      <w:r w:rsidRPr="00C941CF">
        <w:rPr>
          <w:rFonts w:ascii="Sylfaen" w:hAnsi="Sylfaen" w:cs="AcadNusx"/>
          <w:sz w:val="24"/>
          <w:szCs w:val="24"/>
          <w:u w:color="FF0000"/>
          <w:lang w:val="en-US"/>
        </w:rPr>
        <w:t>ინდექსი</w:t>
      </w:r>
      <w:proofErr w:type="spellEnd"/>
      <w:r w:rsidRPr="00C941CF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C941CF">
        <w:rPr>
          <w:rFonts w:ascii="Sylfaen" w:hAnsi="Sylfaen" w:cs="AcadNusx"/>
          <w:sz w:val="24"/>
          <w:szCs w:val="24"/>
          <w:u w:color="FF0000"/>
          <w:lang w:val="en-US"/>
        </w:rPr>
        <w:t>მწარმოებელთა</w:t>
      </w:r>
      <w:proofErr w:type="spellEnd"/>
      <w:r w:rsidRPr="00C941CF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proofErr w:type="spellStart"/>
      <w:r w:rsidRPr="00C941CF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proofErr w:type="spellEnd"/>
      <w:r w:rsidRPr="00C941CF">
        <w:rPr>
          <w:rFonts w:ascii="Sylfaen" w:hAnsi="Sylfaen" w:cs="AcadNusx"/>
          <w:sz w:val="24"/>
          <w:szCs w:val="24"/>
          <w:u w:color="FF0000"/>
          <w:lang w:val="ka-GE"/>
        </w:rPr>
        <w:t xml:space="preserve"> </w:t>
      </w:r>
      <w:proofErr w:type="spellStart"/>
      <w:r w:rsidRPr="00C941CF">
        <w:rPr>
          <w:rFonts w:ascii="Sylfaen" w:hAnsi="Sylfaen" w:cs="AcadNusx"/>
          <w:sz w:val="24"/>
          <w:szCs w:val="24"/>
          <w:u w:color="FF0000"/>
          <w:lang w:val="en-US"/>
        </w:rPr>
        <w:t>ინდექს</w:t>
      </w:r>
      <w:proofErr w:type="spellEnd"/>
      <w:r w:rsidRPr="00C941CF">
        <w:rPr>
          <w:rFonts w:ascii="Sylfaen" w:hAnsi="Sylfaen" w:cs="AcadNusx"/>
          <w:sz w:val="24"/>
          <w:szCs w:val="24"/>
          <w:u w:color="FF0000"/>
          <w:lang w:val="ka-GE"/>
        </w:rPr>
        <w:t>ები, იმპორტის ფასების ინდექსი</w:t>
      </w:r>
      <w:r w:rsidRPr="00C941CF">
        <w:rPr>
          <w:rFonts w:ascii="AcadNusx" w:hAnsi="AcadNusx" w:cs="AcadNusx"/>
          <w:sz w:val="24"/>
          <w:szCs w:val="24"/>
          <w:u w:color="FF0000"/>
          <w:lang w:val="ka-GE"/>
        </w:rPr>
        <w:t>;</w:t>
      </w:r>
      <w:bookmarkStart w:id="0" w:name="_GoBack"/>
      <w:bookmarkEnd w:id="0"/>
    </w:p>
    <w:p w:rsidR="003D63E5" w:rsidRPr="002008D4" w:rsidRDefault="003D63E5" w:rsidP="003D63E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სოციალური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სიღარიბის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მაჩვენებლები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საარსებო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მინიმუმი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შინამეურნეობების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შემოსავლები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ხარჯები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="00A23DC5">
        <w:rPr>
          <w:rFonts w:ascii="Sylfaen" w:hAnsi="Sylfaen" w:cs="AcadNusx"/>
          <w:sz w:val="24"/>
          <w:szCs w:val="24"/>
          <w:u w:color="FF0000"/>
          <w:lang w:val="ka-GE"/>
        </w:rPr>
        <w:t xml:space="preserve">შინამეურნეობებში </w:t>
      </w:r>
      <w:hyperlink r:id="rId5" w:tgtFrame="_self" w:history="1">
        <w:r w:rsidR="00A23DC5" w:rsidRPr="000D6D7F">
          <w:rPr>
            <w:rFonts w:ascii="Sylfaen" w:eastAsia="Times New Roman" w:hAnsi="Sylfaen" w:cs="Times New Roman"/>
            <w:color w:val="323232"/>
            <w:sz w:val="24"/>
            <w:szCs w:val="24"/>
          </w:rPr>
          <w:t>საინფორმაციო და საკომუნიკაციო ტექნოლოგიების გამოყენებ</w:t>
        </w:r>
        <w:r w:rsidR="00A23DC5">
          <w:rPr>
            <w:rFonts w:ascii="Sylfaen" w:eastAsia="Times New Roman" w:hAnsi="Sylfaen" w:cs="Times New Roman"/>
            <w:color w:val="323232"/>
            <w:sz w:val="24"/>
            <w:szCs w:val="24"/>
            <w:lang w:val="ka-GE"/>
          </w:rPr>
          <w:t>ა,</w:t>
        </w:r>
      </w:hyperlink>
      <w:r w:rsidR="00A23DC5"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დასაქმება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უმუშევრობა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ხელფასები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განათლების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ჯანდაცვის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კულტურის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სამართლებრივი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გენდერული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ტურიზმის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დემოგრაფია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რიცხოვნობა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დაბადება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გარდაცვალება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ქორწინება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განქორწინება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მიგრაცია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ბიზნეს</w:t>
      </w:r>
      <w:proofErr w:type="spellEnd"/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proofErr w:type="spellEnd"/>
      <w:r w:rsidRPr="00045B37">
        <w:rPr>
          <w:rFonts w:ascii="AcadNusx" w:hAnsi="AcadNusx" w:cs="AcadNusx"/>
          <w:sz w:val="24"/>
          <w:szCs w:val="24"/>
          <w:lang w:val="it-IT"/>
        </w:rPr>
        <w:t xml:space="preserve">: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ბიზნეს</w:t>
      </w:r>
      <w:proofErr w:type="spellEnd"/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რეგისტრი</w:t>
      </w:r>
      <w:proofErr w:type="spellEnd"/>
      <w:r w:rsidRPr="00045B37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ბიზნეს</w:t>
      </w:r>
      <w:proofErr w:type="spellEnd"/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სექტორის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5B37">
        <w:rPr>
          <w:rFonts w:ascii="Sylfaen" w:hAnsi="Sylfaen" w:cs="AcadNusx"/>
          <w:sz w:val="24"/>
          <w:szCs w:val="24"/>
          <w:lang w:val="ka-GE"/>
        </w:rPr>
        <w:t>საქმიანობის ამსახველი ძირითადი მაჩვენებლები (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პროდუქციის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გამოშვებ</w:t>
      </w:r>
      <w:proofErr w:type="spellEnd"/>
      <w:r w:rsidRPr="00045B37">
        <w:rPr>
          <w:rFonts w:ascii="Sylfaen" w:hAnsi="Sylfaen" w:cs="AcadNusx"/>
          <w:sz w:val="24"/>
          <w:szCs w:val="24"/>
          <w:u w:color="FF0000"/>
          <w:lang w:val="ka-GE"/>
        </w:rPr>
        <w:t>ა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ბრუნვ</w:t>
      </w:r>
      <w:proofErr w:type="spellEnd"/>
      <w:r w:rsidRPr="00045B37">
        <w:rPr>
          <w:rFonts w:ascii="Sylfaen" w:hAnsi="Sylfaen" w:cs="AcadNusx"/>
          <w:sz w:val="24"/>
          <w:szCs w:val="24"/>
          <w:u w:color="FF0000"/>
          <w:lang w:val="ka-GE"/>
        </w:rPr>
        <w:t>ა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დასაქმებ</w:t>
      </w:r>
      <w:proofErr w:type="spellEnd"/>
      <w:r w:rsidRPr="00045B37">
        <w:rPr>
          <w:rFonts w:ascii="Sylfaen" w:hAnsi="Sylfaen" w:cs="AcadNusx"/>
          <w:sz w:val="24"/>
          <w:szCs w:val="24"/>
          <w:u w:color="FF0000"/>
          <w:lang w:val="ka-GE"/>
        </w:rPr>
        <w:t>ა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ka-GE"/>
        </w:rPr>
        <w:t>და ა.შ)</w:t>
      </w:r>
      <w:r w:rsidRPr="00045B37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მრეწველობის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მშენებლობის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ენერგეტიკის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მომსახურების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სფეროს</w:t>
      </w:r>
      <w:proofErr w:type="spellEnd"/>
      <w:r w:rsidRPr="00045B37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სოფლის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მეურნეობის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ერთწლიანი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კულტურების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ნათესი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ფართობი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აღებული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ფართობი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წარმოება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საშუალო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მოსავლიანობა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მრავალწლოვანი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კულტურების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წარმოება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პირუტყვის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ფრინველის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სულადობა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დაცემა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ნამატი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მეცხოველეობის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პროდუქციის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წარმოება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საშუალო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მაჩვენებლები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სასოფლო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მეურნეობების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მიერ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გამოყენებული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მინერალური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სასუქები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განოყიერებული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ფართობი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საშუალოდ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ერთ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ჰექტარზე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გამოყენებული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მინერალური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სასუქების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რაოდენობა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ქვეყნის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დონეზე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რეგიონების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მიხედვით</w:t>
      </w:r>
      <w:r w:rsidRPr="002008D4">
        <w:rPr>
          <w:rFonts w:ascii="Sylfaen" w:hAnsi="Sylfaen" w:cs="Sylfaen"/>
          <w:noProof/>
          <w:sz w:val="24"/>
          <w:szCs w:val="24"/>
          <w:lang w:val="ka-GE"/>
        </w:rPr>
        <w:t>.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გარემოს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დაცვის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სასურსათო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ბალანსები</w:t>
      </w:r>
      <w:r w:rsidRPr="002008D4">
        <w:rPr>
          <w:rFonts w:ascii="AcadNusx" w:hAnsi="AcadNusx" w:cs="AcadNusx"/>
          <w:sz w:val="24"/>
          <w:szCs w:val="24"/>
          <w:lang w:val="it-IT"/>
        </w:rPr>
        <w:t>.</w:t>
      </w:r>
    </w:p>
    <w:p w:rsidR="003D63E5" w:rsidRDefault="003D63E5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P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>სტატისტიკური</w:t>
      </w:r>
      <w:r w:rsidRPr="002008D4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 xml:space="preserve">მონაცემების/პროდუქტები 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წარმოებისას</w:t>
      </w:r>
      <w:r w:rsidRPr="002008D4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>საქსტატმა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>201</w:t>
      </w:r>
      <w:r w:rsidR="004A1A68">
        <w:rPr>
          <w:rFonts w:ascii="Sylfaen" w:hAnsi="Sylfaen" w:cs="AcadNusx"/>
          <w:b/>
          <w:sz w:val="24"/>
          <w:szCs w:val="24"/>
          <w:u w:color="FF0000"/>
          <w:lang w:val="en-US"/>
        </w:rPr>
        <w:t>6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წელს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იხელმძღვანელა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შემდეგი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მეთოდოლოგიური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დოკუმენტებით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>:</w:t>
      </w:r>
    </w:p>
    <w:p w:rsidR="00510A6A" w:rsidRPr="00510A6A" w:rsidRDefault="00510A6A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ka-GE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>ეროვნული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>ანგარიშები</w:t>
      </w:r>
    </w:p>
    <w:p w:rsidR="003D63E5" w:rsidRPr="002008D4" w:rsidRDefault="003D63E5" w:rsidP="003D63E5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ეროვნულ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ანგარიშთა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სისტემა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1993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SNA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System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National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Accounts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1993</w:t>
      </w:r>
      <w:r w:rsidRPr="002008D4">
        <w:rPr>
          <w:rFonts w:ascii="AcadNusx" w:hAnsi="AcadNusx" w:cs="AcadNusx"/>
          <w:sz w:val="24"/>
          <w:szCs w:val="24"/>
          <w:lang w:val="it-IT"/>
        </w:rPr>
        <w:t>)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ევროსტატი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თანამშრომლობისა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განვითარების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მსოფლიო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ბანკი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ბრიუსელი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/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ლუქსემბურგი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ნიუ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იორკი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პარიზი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ვაშინგტონი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1993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დაუკვირვებადი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გაზომვა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Measuring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Non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Observed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Economy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თანამშრომლობისა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განვითარების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პარიზი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საფრანგეთი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2002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lang w:val="it-IT"/>
        </w:rPr>
        <w:t>.</w:t>
      </w:r>
    </w:p>
    <w:p w:rsidR="003D63E5" w:rsidRPr="002008D4" w:rsidRDefault="003D63E5" w:rsidP="003D63E5">
      <w:pPr>
        <w:pStyle w:val="ListParagraph"/>
        <w:spacing w:after="0" w:line="240" w:lineRule="auto"/>
        <w:ind w:left="706"/>
        <w:jc w:val="both"/>
        <w:rPr>
          <w:rFonts w:ascii="AcadNusx" w:hAnsi="AcadNusx" w:cs="AcadNusx"/>
          <w:b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საგარეო</w:t>
      </w:r>
      <w:r w:rsidRPr="002008D4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სექტორის</w:t>
      </w:r>
      <w:r w:rsidRPr="002008D4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სტატისტიკ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 xml:space="preserve">ა: </w:t>
      </w:r>
    </w:p>
    <w:p w:rsidR="003D63E5" w:rsidRPr="002008D4" w:rsidRDefault="003D63E5" w:rsidP="003D63E5">
      <w:pPr>
        <w:spacing w:after="0" w:line="240" w:lineRule="auto"/>
        <w:ind w:firstLine="709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საქონლით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ვაჭრობის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International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Merchandise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Trade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ნიუ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იორკი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აშშ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2011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საგარეო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საქმიანობის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სასაქონლო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ნომენკლატურა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20</w:t>
      </w:r>
      <w:r w:rsidRPr="002008D4">
        <w:rPr>
          <w:rFonts w:ascii="Sylfaen" w:hAnsi="Sylfaen" w:cs="Times New Roman"/>
          <w:sz w:val="24"/>
          <w:szCs w:val="24"/>
          <w:u w:color="FF0000"/>
          <w:lang w:val="it-IT"/>
        </w:rPr>
        <w:t>12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Harmonized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Commodity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Description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Coding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System</w:t>
      </w:r>
      <w:r w:rsidRPr="002008D4">
        <w:rPr>
          <w:rFonts w:ascii="AcadNusx" w:hAnsi="AcadNusx" w:cs="AcadNusx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საგადასახდელო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ბალანსისა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საინვესტიციო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პოზიციის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Balance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Payments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International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Investments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Position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Manual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ვაშინგტონი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აშშ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2008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მეექვსე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გამოცემა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პირდაპირი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უცხოური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ინვესტიციების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სტანდარტული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განსაზღვრება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Benchmark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Definition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Foreign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Direct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Investment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თანამშრომლობისა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განვითარების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პარიზი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საფრანგეთი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2008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მეოთხე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გამოცემა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პირდაპირი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ინვესტიციების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კოორდინირებული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გამოკვლევის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bookmarkStart w:id="1" w:name="OLE_LINK5"/>
      <w:bookmarkStart w:id="2" w:name="OLE_LINK6"/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Coordinated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Direct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Investment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Survey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Guide</w:t>
      </w:r>
      <w:bookmarkEnd w:id="1"/>
      <w:bookmarkEnd w:id="2"/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ვაშინგტონი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აშშ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2008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საგარეო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ვალის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External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Debt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ევროსტატი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თანამშრომლობისა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განვითარების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მსოფლიო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ბანკი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გაეროს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კონფერენცია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ვაჭრობასა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განვითარებაზე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UNCTAD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ვაშინგტონი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აშშ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2003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spacing w:after="0" w:line="240" w:lineRule="auto"/>
        <w:ind w:firstLine="284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</w:p>
    <w:p w:rsidR="003D45FC" w:rsidRPr="003D45FC" w:rsidRDefault="003D45FC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u w:color="FF0000"/>
          <w:lang w:val="it-IT"/>
        </w:rPr>
      </w:pPr>
    </w:p>
    <w:p w:rsidR="003D45FC" w:rsidRDefault="003D45FC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u w:color="FF0000"/>
          <w:lang w:val="it-IT"/>
        </w:rPr>
      </w:pPr>
    </w:p>
    <w:p w:rsidR="003D45FC" w:rsidRDefault="003D45FC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u w:color="FF0000"/>
          <w:lang w:val="it-IT"/>
        </w:rPr>
      </w:pPr>
    </w:p>
    <w:p w:rsidR="003D45FC" w:rsidRDefault="003D45FC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u w:color="FF0000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lastRenderedPageBreak/>
        <w:t>ფასების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სტატისტიკა</w:t>
      </w:r>
      <w:proofErr w:type="spellEnd"/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 xml:space="preserve">: 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სამომხმარებლო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ინდექსი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Consumer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Price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Index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Manual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შრომის</w:t>
      </w:r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Sylfaen" w:hAnsi="Sylfaen" w:cs="Arial"/>
          <w:sz w:val="24"/>
          <w:szCs w:val="24"/>
          <w:u w:color="FF0000"/>
          <w:lang w:val="ka-GE"/>
        </w:rPr>
        <w:t xml:space="preserve"> </w:t>
      </w:r>
      <w:r w:rsidRPr="002008D4">
        <w:rPr>
          <w:rFonts w:ascii="Arial" w:hAnsi="Arial" w:cs="Arial"/>
          <w:sz w:val="24"/>
          <w:szCs w:val="24"/>
          <w:lang w:val="it-IT"/>
        </w:rPr>
        <w:t>(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ILO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r w:rsidRPr="002008D4">
        <w:rPr>
          <w:rFonts w:ascii="Arial" w:hAnsi="Arial" w:cs="Arial"/>
          <w:sz w:val="24"/>
          <w:szCs w:val="24"/>
          <w:lang w:val="it-IT"/>
        </w:rPr>
        <w:t>(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IMF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),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2004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სამომხმარებლო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ინდექსების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წარმოების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პრაქტიკული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Practical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Guide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Producing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Consumer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Price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Indices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2009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r w:rsidRPr="002008D4">
        <w:rPr>
          <w:rFonts w:ascii="AcadNusx" w:hAnsi="AcadNusx" w:cs="AcadNusx"/>
          <w:sz w:val="24"/>
          <w:szCs w:val="24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ფონდის</w:t>
      </w:r>
      <w:r w:rsidRPr="002008D4">
        <w:rPr>
          <w:rFonts w:ascii="AcadNusx" w:hAnsi="AcadNusx" w:cs="AcadNusx"/>
          <w:sz w:val="24"/>
          <w:szCs w:val="24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r w:rsidRPr="002008D4">
        <w:rPr>
          <w:rFonts w:ascii="AcadNusx" w:hAnsi="AcadNusx" w:cs="AcadNusx"/>
          <w:sz w:val="24"/>
          <w:szCs w:val="24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1993</w:t>
      </w:r>
      <w:r w:rsidRPr="002008D4">
        <w:rPr>
          <w:rFonts w:ascii="AcadNusx" w:hAnsi="AcadNusx" w:cs="AcadNusx"/>
          <w:sz w:val="24"/>
          <w:szCs w:val="24"/>
        </w:rPr>
        <w:t>-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2012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ექსპორტის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იმპორტის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ინდექსის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lang w:val="it-IT"/>
        </w:rPr>
        <w:t>(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Export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and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Import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Price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Index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Manual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შრომის</w:t>
      </w:r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Sylfaen" w:hAnsi="Sylfaen" w:cs="Arial"/>
          <w:sz w:val="24"/>
          <w:szCs w:val="24"/>
          <w:u w:color="FF0000"/>
          <w:lang w:val="ka-GE"/>
        </w:rPr>
        <w:t xml:space="preserve"> </w:t>
      </w:r>
      <w:r w:rsidRPr="002008D4">
        <w:rPr>
          <w:rFonts w:ascii="Arial" w:hAnsi="Arial" w:cs="Arial"/>
          <w:sz w:val="24"/>
          <w:szCs w:val="24"/>
          <w:lang w:val="it-IT"/>
        </w:rPr>
        <w:t>(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ILO</w:t>
      </w:r>
      <w:r w:rsidRPr="002008D4">
        <w:rPr>
          <w:rFonts w:ascii="Arial" w:hAnsi="Arial" w:cs="Arial"/>
          <w:sz w:val="24"/>
          <w:szCs w:val="24"/>
          <w:lang w:val="it-IT"/>
        </w:rPr>
        <w:t>),</w:t>
      </w:r>
      <w:r w:rsidRPr="002008D4">
        <w:rPr>
          <w:rFonts w:ascii="AcadNusx" w:hAnsi="AcadNusx" w:cs="Arial"/>
          <w:sz w:val="24"/>
          <w:szCs w:val="24"/>
          <w:lang w:val="it-IT"/>
        </w:rPr>
        <w:t xml:space="preserve"> 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სავალუტო</w:t>
      </w:r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ფონდი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 (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IMF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),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2009;</w:t>
      </w:r>
    </w:p>
    <w:p w:rsidR="003D63E5" w:rsidRPr="002008D4" w:rsidRDefault="003D63E5" w:rsidP="003D63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სამომხმარებლო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ინდექსის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გაანგარიშების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მეთოდოლოგიური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სამრეწველო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პროდუქციის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მწარმოებელთა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ინდექსის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გაანგარიშების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მეთოდოლოგიური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spacing w:after="0" w:line="240" w:lineRule="auto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სოციალური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სტატისტიკ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 xml:space="preserve">ა: 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შინამეურნეობების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გამოკვლევის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Handbook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Household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Surveys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ნიუ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იორკი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1984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შინამეურნეობებისა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ცალკეული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ინდივიდების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მიერ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საინფორმაციო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საკომუნიკაციო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ტექნოლოგიებზე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ხელმისაწვდომობისა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გამოყენების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ინდიკატორების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გაანგარიშების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მეთოდოლოგია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Manual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for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mearsuring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ICT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Access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and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Use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by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Households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and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Individuals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ტელეკომუნიკაციების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ჟენევა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შვეიცარია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2014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თანამედროვე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შრომის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სტატისტიკაზე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Current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International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Recommendations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Labour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ILO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1994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წლის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გამოცემა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შრომის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ჟენევა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შვეიცარია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ეკონომიკურად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აქტიური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გამოკვლევა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დასაქმება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უმუშევრობა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არასრული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დასაქმება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მეთოდოლოგიური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Pr="002008D4">
        <w:rPr>
          <w:rFonts w:ascii="AcadNusx" w:hAnsi="AcadNusx" w:cs="AcadNusx"/>
          <w:sz w:val="24"/>
          <w:szCs w:val="24"/>
          <w:lang w:val="it-IT"/>
        </w:rPr>
        <w:t>),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Hussmanns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.,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Mehran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.,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Verma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V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Surveys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Economically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Active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Population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Employment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Unemployment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Underemployment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.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ჰუსმანსი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.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მერანი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.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ვერმა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შრომის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ჟენევა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შვეიცარია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1992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„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დასაქმების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უმუშევრობისა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არასრული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დასაქმების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გაანგარიშების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მეთოდიკა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თანამედროვე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სტანდარტები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მათი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გამოყენების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საკითხები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“</w:t>
      </w:r>
      <w:r w:rsidRPr="002008D4">
        <w:rPr>
          <w:rFonts w:ascii="AcadNusx" w:hAnsi="AcadNusx" w:cs="AcadNusx"/>
          <w:sz w:val="24"/>
          <w:szCs w:val="24"/>
          <w:lang w:val="it-IT"/>
        </w:rPr>
        <w:t>,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Measurement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employment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unemployment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underemployment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–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Current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international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standards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issues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their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application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ILO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შრომის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„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ხელფასების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ინტეგრირებული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სისტემა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“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Integrated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System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Wages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ILO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შრომის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ILO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ჟენევა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შვეიცარია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1994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lastRenderedPageBreak/>
        <w:t>გაერთიანებული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დანაშაულებების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აღკვეთის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სისხლის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სამართლის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ვენის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განყოფილების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სოციალურ</w:t>
      </w:r>
      <w:r w:rsidRPr="002008D4">
        <w:rPr>
          <w:rFonts w:ascii="AcadNusx" w:hAnsi="AcadNusx" w:cs="AcadNusx"/>
          <w:sz w:val="24"/>
          <w:szCs w:val="24"/>
          <w:lang w:val="it-IT"/>
        </w:rPr>
        <w:t>-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ინფორმაციის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პოლიტიკის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ანალიზის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დეპარტამენტის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იუნესკოს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ინსტიტუტის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განათლება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მეცნიერება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კულტურა</w:t>
      </w:r>
      <w:r w:rsidRPr="002008D4">
        <w:rPr>
          <w:rFonts w:ascii="AcadNusx" w:hAnsi="AcadNusx" w:cs="AcadNusx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ევროპის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კომისიის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UNECE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)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გაეროს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ქალთა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</w:t>
      </w:r>
      <w:r w:rsidRPr="002008D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WOMEN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გენდერული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სფეროში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ტურიზმის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სტატისტიკისთვის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2008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International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Recommendations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for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Tourism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Statistics</w:t>
      </w:r>
      <w:r w:rsidRPr="002008D4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2008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მეთოდოლოგიური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ტურიზმის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სტატისტიკისთვის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ვერსია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</w:t>
      </w:r>
      <w:r w:rsidRPr="002008D4">
        <w:rPr>
          <w:rFonts w:ascii="AcadNusx" w:hAnsi="AcadNusx" w:cs="AcadNusx"/>
          <w:sz w:val="24"/>
          <w:szCs w:val="24"/>
          <w:lang w:val="it-IT"/>
        </w:rPr>
        <w:t>.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Methodological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Manual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for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Tourism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Statistics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version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</w:t>
      </w:r>
      <w:r w:rsidRPr="002008D4">
        <w:rPr>
          <w:rFonts w:ascii="Sylfaen" w:hAnsi="Sylfaen" w:cs="AcadNusx"/>
          <w:sz w:val="24"/>
          <w:szCs w:val="24"/>
          <w:lang w:val="it-IT"/>
        </w:rPr>
        <w:t>.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ევროკავშირი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2012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lang w:val="it-IT"/>
        </w:rPr>
        <w:t>.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ka-GE"/>
        </w:rPr>
      </w:pPr>
    </w:p>
    <w:p w:rsidR="003D63E5" w:rsidRPr="004A1A68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ka-GE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u w:color="FF0000"/>
          <w:lang w:val="ka-GE"/>
        </w:rPr>
      </w:pP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მოსახლეობის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დემოგრაფიის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სტატისტიკ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 xml:space="preserve">ა: 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ევროპის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სტატისტიკოსთა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კონფერენციის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2010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წლის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რაუნდის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მოსახლეობისა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საცხოვრისების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აღწერისთვის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Conference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European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Statisticians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Recommendations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for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2010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Censuses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Population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Housing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ნიუ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იორკი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ჟენევა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2006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ბუნებრივი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მოძრაობის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აღრიცხვის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სისტემის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პრინციპები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Principles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Recommendations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for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Vital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System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მეორე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შესწორებული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გამოცემა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ნიუ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იორკი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2001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დემოგრაფიის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მოკლე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ენციკლოპედიური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ლექსიკონი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გაეროს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მოსახლეობის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UNFPA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2005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თბილისი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. </w:t>
      </w:r>
    </w:p>
    <w:p w:rsidR="003D63E5" w:rsidRPr="002008D4" w:rsidRDefault="003D63E5" w:rsidP="003D63E5">
      <w:pPr>
        <w:pStyle w:val="ListParagraph"/>
        <w:spacing w:after="0" w:line="240" w:lineRule="auto"/>
        <w:ind w:left="706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spacing w:after="0" w:line="240" w:lineRule="auto"/>
        <w:ind w:left="706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spacing w:after="0" w:line="240" w:lineRule="auto"/>
        <w:ind w:left="706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 w:eastAsia="ru-RU"/>
        </w:rPr>
      </w:pPr>
      <w:r w:rsidRPr="002008D4">
        <w:rPr>
          <w:rFonts w:ascii="Sylfaen" w:hAnsi="Sylfaen" w:cs="AcadNusx"/>
          <w:b/>
          <w:sz w:val="24"/>
          <w:szCs w:val="24"/>
          <w:u w:color="FF0000"/>
          <w:lang w:val="en-US" w:eastAsia="ru-RU"/>
        </w:rPr>
        <w:t>ბიზნეს</w:t>
      </w:r>
      <w:r w:rsidRPr="002008D4">
        <w:rPr>
          <w:rFonts w:ascii="AcadNusx" w:hAnsi="AcadNusx" w:cs="AcadNusx"/>
          <w:b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 w:eastAsia="ru-RU"/>
        </w:rPr>
        <w:t>სტატისტიკა</w:t>
      </w:r>
      <w:r w:rsidRPr="002008D4">
        <w:rPr>
          <w:rFonts w:ascii="AcadNusx" w:hAnsi="AcadNusx" w:cs="AcadNusx"/>
          <w:b/>
          <w:sz w:val="24"/>
          <w:szCs w:val="24"/>
          <w:lang w:val="it-IT" w:eastAsia="ru-RU"/>
        </w:rPr>
        <w:t>: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 w:eastAsia="ru-RU"/>
        </w:rPr>
      </w:pP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სტატისტიკური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მოთხოვნების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კრებული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Statistical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Requirements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Compendium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2004</w:t>
      </w:r>
      <w:r w:rsidRPr="00045B37">
        <w:rPr>
          <w:rFonts w:ascii="Sylfaen" w:hAnsi="Sylfaen" w:cs="AcadNusx"/>
          <w:sz w:val="24"/>
          <w:szCs w:val="24"/>
          <w:lang w:val="ka-GE" w:eastAsia="ru-RU"/>
        </w:rPr>
        <w:t>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2009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lang w:val="ka-GE" w:eastAsia="ru-RU"/>
        </w:rPr>
        <w:t xml:space="preserve">და 2016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წლების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გამოცემები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მოკლევადიანი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მეთოდოლოგია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-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განმარტებები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რეკომენდაციები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Methodology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Short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Term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Interpretation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Guidelines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),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2006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მოკლევადიანი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მეთოდოლოგია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-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თანმხლები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დოკუმენტები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Methodology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Short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Term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Associated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Documents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),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),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2006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>)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lastRenderedPageBreak/>
        <w:t>“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საერთაშორისო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რეკომენდაციები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მშენებლობის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სტატისტიკისათვის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International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Recommendations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for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Construction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UNSD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გაერთიანებული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ერების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სამსახური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1997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ახსნა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>-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განმარტებები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სამშენებლო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საქმიანობის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სტატისტიკური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გამოკვლევისათვის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გერმანიის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ფედერალური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სამსახური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1997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ენერგეტიკის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სახელმძღვანელო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Energy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Manual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OECD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ეკონომიკური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თანამშრომლობისა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-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ენერგეტიკის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საერთაშორისო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სააგენტო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</w:pPr>
      <w:r w:rsidRPr="00045B37">
        <w:rPr>
          <w:rFonts w:ascii="Sylfaen" w:hAnsi="Sylfaen" w:cs="Times New Roman"/>
          <w:sz w:val="24"/>
          <w:szCs w:val="24"/>
          <w:u w:color="FF0000"/>
          <w:lang w:val="ka-GE" w:eastAsia="ru-RU"/>
        </w:rPr>
        <w:t>გაერთიანებული ორგანიზაციების მონაცემთა ინიციატივის ნავთობის სახელმძღვანელო,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J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it-IT" w:eastAsia="ru-RU"/>
        </w:rPr>
        <w:t>oint Organisations Data Initiative - JODI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 xml:space="preserve"> </w:t>
      </w:r>
      <w:r w:rsidRPr="00045B37">
        <w:rPr>
          <w:rFonts w:ascii="Sylfaen" w:hAnsi="Sylfaen" w:cs="Times New Roman"/>
          <w:sz w:val="24"/>
          <w:szCs w:val="24"/>
          <w:u w:color="FF0000"/>
          <w:lang w:val="it-IT" w:eastAsia="ru-RU"/>
        </w:rPr>
        <w:t>Oil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it-IT" w:eastAsia="ru-RU"/>
        </w:rPr>
        <w:t>M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anual</w:t>
      </w:r>
      <w:r w:rsidRPr="00045B37">
        <w:rPr>
          <w:rFonts w:ascii="Sylfaen" w:hAnsi="Sylfaen" w:cs="Times New Roman"/>
          <w:sz w:val="24"/>
          <w:szCs w:val="24"/>
          <w:u w:color="FF0000"/>
          <w:lang w:val="ka-GE" w:eastAsia="ru-RU"/>
        </w:rPr>
        <w:t>);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</w:pPr>
      <w:r w:rsidRPr="00045B37">
        <w:rPr>
          <w:rFonts w:ascii="Sylfaen" w:hAnsi="Sylfaen" w:cs="Times New Roman"/>
          <w:sz w:val="24"/>
          <w:szCs w:val="24"/>
          <w:u w:color="FF0000"/>
          <w:lang w:val="ka-GE" w:eastAsia="ru-RU"/>
        </w:rPr>
        <w:t>გაერთიანებული ორგანიზაციების მონაცემთა ინიციატივის გაზის სახელმძღვანელო,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Joint Organisations Data Initiative -JODI Gaz manual</w:t>
      </w:r>
      <w:r w:rsidRPr="00045B37">
        <w:rPr>
          <w:rFonts w:ascii="Sylfaen" w:hAnsi="Sylfaen" w:cs="Times New Roman"/>
          <w:sz w:val="24"/>
          <w:szCs w:val="24"/>
          <w:u w:color="FF0000"/>
          <w:lang w:val="ka-GE" w:eastAsia="ru-RU"/>
        </w:rPr>
        <w:t>);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</w:pPr>
      <w:r w:rsidRPr="00045B37">
        <w:rPr>
          <w:rFonts w:ascii="Sylfaen" w:hAnsi="Sylfaen" w:cs="Times New Roman"/>
          <w:sz w:val="24"/>
          <w:szCs w:val="24"/>
          <w:u w:color="FF0000"/>
          <w:lang w:val="ka-GE" w:eastAsia="ru-RU"/>
        </w:rPr>
        <w:t>შინამეურნეობებში ენერგიის მოხმარების სტატისტიკის სახელმძღვანელო, (Manual for statistics on energy consumption in households, 2013 year);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საერთაშორისო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რეკომენდაციები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ვაჭრობის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სტატისტიკისათვის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International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Recommendations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for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Distributive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Trade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UN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გაეროს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სტატისტიკის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სამსახური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2009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წელი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>)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სატვირთო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საავტომობილო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ტრანსპორტის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მეთოდოლოგია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Road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Freight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Transport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Methodology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 w:eastAsia="ru-RU"/>
        </w:rPr>
        <w:t>)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2008</w:t>
      </w: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 xml:space="preserve"> და 2016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წლი</w:t>
      </w:r>
      <w:proofErr w:type="spellEnd"/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ს გამოცემები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მომსახურების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: </w:t>
      </w: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"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მომსახურების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მოკლევადიან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სტატისტიკაში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"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სემინარის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მასალები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Evolution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Service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Proceedings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the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seminar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on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"Service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Within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Short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term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2002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ტრანსპორტის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გლოსარიუმი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Glossary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for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Transport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მესამე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გამოცემა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2003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რეგისტრი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: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სარეკომენდაციო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სახელმძღვანელო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Register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Recommendations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Manual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-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2010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ეკონომიკური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თანამშრომლობისა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სახელმძღვანელო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დემოგრაფიის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სტატისტიკაზე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−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Manual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on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Demography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ეკონომიკური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თანამშრომლობისა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2007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ადმინისტრაციული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წყაროების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გამოყენება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მიზნებისათვის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: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საუკეთესო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პრაქტიკის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სახელმძღვანელო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Use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Administrative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Sources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for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Purposes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Handbook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on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Good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Practices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45B37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045B37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>1999</w:t>
      </w:r>
      <w:r w:rsidRPr="00045B37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045B37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045B37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045B37" w:rsidRPr="00045B37" w:rsidRDefault="00045B37" w:rsidP="00045B37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Sylfaen" w:hAnsi="Sylfaen" w:cs="AcadNusx"/>
          <w:sz w:val="24"/>
          <w:szCs w:val="24"/>
          <w:u w:color="FF0000"/>
          <w:lang w:val="it-IT" w:eastAsia="ru-RU"/>
        </w:rPr>
      </w:pPr>
      <w:r w:rsidRPr="00045B37">
        <w:rPr>
          <w:rFonts w:ascii="Sylfaen" w:hAnsi="Sylfaen" w:cs="AcadNusx"/>
          <w:sz w:val="24"/>
          <w:szCs w:val="24"/>
          <w:u w:color="FF0000"/>
          <w:lang w:val="ka-GE" w:eastAsia="ru-RU"/>
        </w:rPr>
        <w:t>ინტეგრირებული ბიზნეს სტატისტიკის რეგულაციები - ცვლადების განმარტებები, ევროპის კომისია, ბიზნეს სტატისტიკის დირექტორთა ჯგუფი, 2015 (</w:t>
      </w:r>
      <w:r w:rsidRPr="00045B37">
        <w:rPr>
          <w:rFonts w:ascii="Sylfaen" w:hAnsi="Sylfaen" w:cs="AcadNusx"/>
          <w:sz w:val="24"/>
          <w:szCs w:val="24"/>
          <w:u w:color="FF0000"/>
          <w:lang w:val="it-IT" w:eastAsia="ru-RU"/>
        </w:rPr>
        <w:t xml:space="preserve">Framework Regulation Integrating Business Statistics (FRIBS) - Definitions of variables, European </w:t>
      </w:r>
      <w:r w:rsidRPr="00045B37">
        <w:rPr>
          <w:rFonts w:ascii="Sylfaen" w:hAnsi="Sylfaen" w:cs="AcadNusx"/>
          <w:i/>
          <w:iCs/>
          <w:sz w:val="24"/>
          <w:szCs w:val="24"/>
          <w:u w:color="FF0000"/>
          <w:lang w:val="it-IT" w:eastAsia="ru-RU"/>
        </w:rPr>
        <w:t>Commission, BUSINESS STATISTICS DIRECTORS GROUP, 2015</w:t>
      </w:r>
      <w:r w:rsidRPr="00045B37">
        <w:rPr>
          <w:rFonts w:ascii="Sylfaen" w:hAnsi="Sylfaen" w:cs="AcadNusx"/>
          <w:i/>
          <w:iCs/>
          <w:sz w:val="24"/>
          <w:szCs w:val="24"/>
          <w:u w:color="FF0000"/>
          <w:lang w:val="ka-GE" w:eastAsia="ru-RU"/>
        </w:rPr>
        <w:t>)</w:t>
      </w:r>
      <w:r w:rsidRPr="00045B37">
        <w:rPr>
          <w:rFonts w:ascii="Sylfaen" w:hAnsi="Sylfaen" w:cs="AcadNusx"/>
          <w:i/>
          <w:iCs/>
          <w:sz w:val="24"/>
          <w:szCs w:val="24"/>
          <w:u w:color="FF0000"/>
          <w:lang w:val="it-IT" w:eastAsia="ru-RU"/>
        </w:rPr>
        <w:t>.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it-IT" w:eastAsia="ru-RU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it-IT" w:eastAsia="ru-RU"/>
        </w:rPr>
      </w:pPr>
    </w:p>
    <w:p w:rsidR="003D45FC" w:rsidRDefault="003D45FC" w:rsidP="003D63E5">
      <w:pPr>
        <w:spacing w:after="0" w:line="240" w:lineRule="auto"/>
        <w:rPr>
          <w:rFonts w:ascii="Sylfaen" w:hAnsi="Sylfaen" w:cs="AcadNusx"/>
          <w:b/>
          <w:sz w:val="24"/>
          <w:szCs w:val="24"/>
          <w:u w:color="FF0000"/>
          <w:lang w:val="en-US" w:eastAsia="ru-RU"/>
        </w:rPr>
      </w:pPr>
    </w:p>
    <w:p w:rsidR="003D45FC" w:rsidRDefault="003D45FC" w:rsidP="003D63E5">
      <w:pPr>
        <w:spacing w:after="0" w:line="240" w:lineRule="auto"/>
        <w:rPr>
          <w:rFonts w:ascii="Sylfaen" w:hAnsi="Sylfaen" w:cs="AcadNusx"/>
          <w:b/>
          <w:sz w:val="24"/>
          <w:szCs w:val="24"/>
          <w:u w:color="FF0000"/>
          <w:lang w:val="en-US" w:eastAsia="ru-RU"/>
        </w:rPr>
      </w:pPr>
      <w:r>
        <w:rPr>
          <w:rFonts w:ascii="Sylfaen" w:hAnsi="Sylfaen" w:cs="AcadNusx"/>
          <w:b/>
          <w:sz w:val="24"/>
          <w:szCs w:val="24"/>
          <w:u w:color="FF0000"/>
          <w:lang w:val="en-US" w:eastAsia="ru-RU"/>
        </w:rPr>
        <w:t>]</w:t>
      </w:r>
    </w:p>
    <w:p w:rsidR="003D63E5" w:rsidRPr="002008D4" w:rsidRDefault="003D63E5" w:rsidP="003D63E5">
      <w:pPr>
        <w:spacing w:after="0" w:line="240" w:lineRule="auto"/>
        <w:rPr>
          <w:rFonts w:ascii="AcadNusx" w:hAnsi="AcadNusx" w:cs="AcadNusx"/>
          <w:b/>
          <w:sz w:val="24"/>
          <w:szCs w:val="24"/>
          <w:lang w:val="it-IT" w:eastAsia="ru-RU"/>
        </w:rPr>
      </w:pPr>
      <w:r w:rsidRPr="002008D4">
        <w:rPr>
          <w:rFonts w:ascii="Sylfaen" w:hAnsi="Sylfaen" w:cs="AcadNusx"/>
          <w:b/>
          <w:sz w:val="24"/>
          <w:szCs w:val="24"/>
          <w:u w:color="FF0000"/>
          <w:lang w:val="en-US" w:eastAsia="ru-RU"/>
        </w:rPr>
        <w:lastRenderedPageBreak/>
        <w:t>სოფლის</w:t>
      </w:r>
      <w:r w:rsidRPr="002008D4">
        <w:rPr>
          <w:rFonts w:ascii="AcadNusx" w:hAnsi="AcadNusx" w:cs="AcadNusx"/>
          <w:b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 w:eastAsia="ru-RU"/>
        </w:rPr>
        <w:t>მეურნეობის</w:t>
      </w:r>
      <w:r w:rsidRPr="002008D4">
        <w:rPr>
          <w:rFonts w:ascii="AcadNusx" w:hAnsi="AcadNusx" w:cs="AcadNusx"/>
          <w:b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en-US" w:eastAsia="ru-RU"/>
        </w:rPr>
        <w:t>სტატისტიკა</w:t>
      </w:r>
      <w:r w:rsidRPr="002008D4">
        <w:rPr>
          <w:rFonts w:ascii="AcadNusx" w:hAnsi="AcadNusx" w:cs="AcadNusx"/>
          <w:b/>
          <w:sz w:val="24"/>
          <w:szCs w:val="24"/>
          <w:lang w:val="it-IT" w:eastAsia="ru-RU"/>
        </w:rPr>
        <w:t>:</w:t>
      </w:r>
    </w:p>
    <w:p w:rsidR="003D63E5" w:rsidRPr="002008D4" w:rsidRDefault="003D63E5" w:rsidP="003D63E5">
      <w:pPr>
        <w:spacing w:after="0" w:line="240" w:lineRule="auto"/>
        <w:ind w:left="709"/>
        <w:jc w:val="center"/>
        <w:rPr>
          <w:rFonts w:ascii="AcadNusx" w:hAnsi="AcadNusx" w:cs="AcadNusx"/>
          <w:b/>
          <w:sz w:val="24"/>
          <w:szCs w:val="24"/>
          <w:lang w:val="it-IT" w:eastAsia="ru-RU"/>
        </w:rPr>
      </w:pPr>
    </w:p>
    <w:p w:rsidR="00A970CE" w:rsidRPr="008B172A" w:rsidRDefault="00A970CE" w:rsidP="00A970CE">
      <w:pPr>
        <w:pStyle w:val="ListParagraph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ინტეგრირებული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სასოფლო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>-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სამეურნეო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აღწერების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გამოკვლევების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სისტემა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ტ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.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1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-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რეკომენდაციები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სასოფლო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სამეურნეო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აღწერათა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პროგრამისათვის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.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FAO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-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სერია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#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11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,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System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Integrated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Agricultural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Censuses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Surveys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Vol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1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World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Programme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for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Census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Agriculture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FAO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გაეროს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სურსათის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სოფლის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მეურნეობის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FAO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>)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რომი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2005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.</w:t>
      </w:r>
    </w:p>
    <w:p w:rsidR="00A970CE" w:rsidRPr="002008D4" w:rsidRDefault="00A970CE" w:rsidP="00A970CE">
      <w:pPr>
        <w:pStyle w:val="ListParagraph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>
        <w:rPr>
          <w:rFonts w:ascii="Sylfaen" w:hAnsi="Sylfaen" w:cs="Times New Roman"/>
          <w:sz w:val="24"/>
          <w:szCs w:val="24"/>
          <w:u w:color="FF0000"/>
          <w:lang w:val="ka-GE" w:eastAsia="ru-RU"/>
        </w:rPr>
        <w:t xml:space="preserve">"მსოფლიო პროგრამა სასოფლო-სამეურნეო აღწერისათვის 2020",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FAO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-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სერია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#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1</w:t>
      </w:r>
      <w:r>
        <w:rPr>
          <w:rFonts w:ascii="Sylfaen" w:hAnsi="Sylfaen" w:cs="AcadNusx"/>
          <w:sz w:val="24"/>
          <w:szCs w:val="24"/>
          <w:u w:color="FF0000"/>
          <w:lang w:val="ka-GE" w:eastAsia="ru-RU"/>
        </w:rPr>
        <w:t>5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,</w:t>
      </w:r>
      <w:r>
        <w:rPr>
          <w:rFonts w:ascii="Sylfaen" w:hAnsi="Sylfaen" w:cs="AcadNusx"/>
          <w:sz w:val="24"/>
          <w:szCs w:val="24"/>
          <w:lang w:val="ka-GE" w:eastAsia="ru-RU"/>
        </w:rPr>
        <w:t xml:space="preserve"> ტ.1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World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Programme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for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Census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Agriculture</w:t>
      </w:r>
      <w:r>
        <w:rPr>
          <w:rFonts w:ascii="Sylfaen" w:hAnsi="Sylfaen" w:cs="Times New Roman"/>
          <w:sz w:val="24"/>
          <w:szCs w:val="24"/>
          <w:u w:color="FF0000"/>
          <w:lang w:val="ka-GE"/>
        </w:rPr>
        <w:t xml:space="preserve"> 2020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FAO</w:t>
      </w:r>
      <w:r>
        <w:rPr>
          <w:rFonts w:ascii="Sylfaen" w:hAnsi="Sylfaen" w:cs="Times New Roman"/>
          <w:sz w:val="24"/>
          <w:szCs w:val="24"/>
          <w:u w:color="FF0000"/>
          <w:lang w:val="ka-GE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Vol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1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გაეროს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სურსათის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სოფლის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მეურნეობის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FAO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>)</w:t>
      </w:r>
      <w:r>
        <w:rPr>
          <w:rFonts w:ascii="Sylfaen" w:hAnsi="Sylfaen" w:cs="Times New Roman"/>
          <w:sz w:val="24"/>
          <w:szCs w:val="24"/>
          <w:lang w:val="ka-GE" w:eastAsia="ru-RU"/>
        </w:rPr>
        <w:t>,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რომი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>
        <w:rPr>
          <w:rFonts w:ascii="Sylfaen" w:hAnsi="Sylfaen" w:cs="AcadNusx"/>
          <w:sz w:val="24"/>
          <w:szCs w:val="24"/>
          <w:u w:color="FF0000"/>
          <w:lang w:val="it-IT" w:eastAsia="ru-RU"/>
        </w:rPr>
        <w:t>20</w:t>
      </w:r>
      <w:r>
        <w:rPr>
          <w:rFonts w:ascii="Sylfaen" w:hAnsi="Sylfaen" w:cs="AcadNusx"/>
          <w:sz w:val="24"/>
          <w:szCs w:val="24"/>
          <w:u w:color="FF0000"/>
          <w:lang w:val="ka-GE" w:eastAsia="ru-RU"/>
        </w:rPr>
        <w:t>1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5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.</w:t>
      </w:r>
    </w:p>
    <w:p w:rsidR="001B30CF" w:rsidRPr="003D63E5" w:rsidRDefault="003D45FC">
      <w:pPr>
        <w:rPr>
          <w:lang w:val="it-IT"/>
        </w:rPr>
      </w:pPr>
    </w:p>
    <w:sectPr w:rsidR="001B30CF" w:rsidRPr="003D63E5" w:rsidSect="00D94E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Nusx">
    <w:altName w:val="Acad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9D1"/>
    <w:multiLevelType w:val="hybridMultilevel"/>
    <w:tmpl w:val="4770110A"/>
    <w:lvl w:ilvl="0" w:tplc="5CB297E4">
      <w:numFmt w:val="bullet"/>
      <w:lvlText w:val="•"/>
      <w:lvlJc w:val="left"/>
      <w:pPr>
        <w:ind w:left="1440" w:hanging="72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90B39"/>
    <w:multiLevelType w:val="hybridMultilevel"/>
    <w:tmpl w:val="A328D68C"/>
    <w:lvl w:ilvl="0" w:tplc="A40003C0"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6F2C"/>
    <w:multiLevelType w:val="hybridMultilevel"/>
    <w:tmpl w:val="38C2C554"/>
    <w:lvl w:ilvl="0" w:tplc="A40003C0">
      <w:numFmt w:val="bullet"/>
      <w:lvlText w:val="-"/>
      <w:lvlJc w:val="left"/>
      <w:pPr>
        <w:ind w:left="1181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nsid w:val="0C1067EB"/>
    <w:multiLevelType w:val="hybridMultilevel"/>
    <w:tmpl w:val="77AE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5A66FF"/>
    <w:multiLevelType w:val="hybridMultilevel"/>
    <w:tmpl w:val="00B6C5EC"/>
    <w:lvl w:ilvl="0" w:tplc="D28E44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E5F0B63"/>
    <w:multiLevelType w:val="hybridMultilevel"/>
    <w:tmpl w:val="1DC8FAD6"/>
    <w:lvl w:ilvl="0" w:tplc="BAD8A7B0">
      <w:start w:val="1"/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A43AF"/>
    <w:multiLevelType w:val="multilevel"/>
    <w:tmpl w:val="44A877C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FB6794B"/>
    <w:multiLevelType w:val="hybridMultilevel"/>
    <w:tmpl w:val="22E27C94"/>
    <w:lvl w:ilvl="0" w:tplc="A40003C0"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86831"/>
    <w:multiLevelType w:val="hybridMultilevel"/>
    <w:tmpl w:val="E06A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D1D54"/>
    <w:multiLevelType w:val="hybridMultilevel"/>
    <w:tmpl w:val="56C41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F9649B"/>
    <w:multiLevelType w:val="hybridMultilevel"/>
    <w:tmpl w:val="56BAA83C"/>
    <w:lvl w:ilvl="0" w:tplc="339661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09A6719"/>
    <w:multiLevelType w:val="hybridMultilevel"/>
    <w:tmpl w:val="98C8D274"/>
    <w:lvl w:ilvl="0" w:tplc="CDB66F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8160D46"/>
    <w:multiLevelType w:val="hybridMultilevel"/>
    <w:tmpl w:val="BDA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35E63"/>
    <w:multiLevelType w:val="hybridMultilevel"/>
    <w:tmpl w:val="9D08D4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A75E3"/>
    <w:multiLevelType w:val="hybridMultilevel"/>
    <w:tmpl w:val="9B8C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8784C"/>
    <w:multiLevelType w:val="hybridMultilevel"/>
    <w:tmpl w:val="BCC8E0F4"/>
    <w:lvl w:ilvl="0" w:tplc="B69E6F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A524C45"/>
    <w:multiLevelType w:val="multilevel"/>
    <w:tmpl w:val="F2985B2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7">
    <w:nsid w:val="2F591C90"/>
    <w:multiLevelType w:val="hybridMultilevel"/>
    <w:tmpl w:val="C94E3384"/>
    <w:lvl w:ilvl="0" w:tplc="5E44E5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4061624"/>
    <w:multiLevelType w:val="multilevel"/>
    <w:tmpl w:val="F10E5DF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9">
    <w:nsid w:val="38D0467C"/>
    <w:multiLevelType w:val="hybridMultilevel"/>
    <w:tmpl w:val="9DC89C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2E5B1E"/>
    <w:multiLevelType w:val="hybridMultilevel"/>
    <w:tmpl w:val="2A42991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C4798F"/>
    <w:multiLevelType w:val="hybridMultilevel"/>
    <w:tmpl w:val="8A847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125679A"/>
    <w:multiLevelType w:val="hybridMultilevel"/>
    <w:tmpl w:val="5B2072FE"/>
    <w:lvl w:ilvl="0" w:tplc="A40003C0"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E49A5"/>
    <w:multiLevelType w:val="hybridMultilevel"/>
    <w:tmpl w:val="4C22140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4AE0785"/>
    <w:multiLevelType w:val="multilevel"/>
    <w:tmpl w:val="BFF6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010"/>
      <w:numFmt w:val="decimal"/>
      <w:lvlText w:val="%2"/>
      <w:lvlJc w:val="left"/>
      <w:pPr>
        <w:ind w:left="1605" w:hanging="52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55931A9"/>
    <w:multiLevelType w:val="hybridMultilevel"/>
    <w:tmpl w:val="3402A5AC"/>
    <w:lvl w:ilvl="0" w:tplc="A40003C0"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D7ABC"/>
    <w:multiLevelType w:val="hybridMultilevel"/>
    <w:tmpl w:val="BC8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C27DB"/>
    <w:multiLevelType w:val="hybridMultilevel"/>
    <w:tmpl w:val="E150418C"/>
    <w:lvl w:ilvl="0" w:tplc="5344B7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4F5C4860"/>
    <w:multiLevelType w:val="hybridMultilevel"/>
    <w:tmpl w:val="9F6CA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4111E"/>
    <w:multiLevelType w:val="hybridMultilevel"/>
    <w:tmpl w:val="C8B8DD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8341627"/>
    <w:multiLevelType w:val="hybridMultilevel"/>
    <w:tmpl w:val="9196B52E"/>
    <w:lvl w:ilvl="0" w:tplc="A40003C0">
      <w:numFmt w:val="bullet"/>
      <w:lvlText w:val="-"/>
      <w:lvlJc w:val="left"/>
      <w:pPr>
        <w:ind w:left="864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>
    <w:nsid w:val="59F71717"/>
    <w:multiLevelType w:val="hybridMultilevel"/>
    <w:tmpl w:val="6F5A4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AC044C"/>
    <w:multiLevelType w:val="hybridMultilevel"/>
    <w:tmpl w:val="D876C094"/>
    <w:lvl w:ilvl="0" w:tplc="B69E6F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2EE1C63"/>
    <w:multiLevelType w:val="hybridMultilevel"/>
    <w:tmpl w:val="088C3106"/>
    <w:lvl w:ilvl="0" w:tplc="64741BC8">
      <w:numFmt w:val="bullet"/>
      <w:lvlText w:val="-"/>
      <w:lvlJc w:val="left"/>
      <w:pPr>
        <w:ind w:left="502" w:hanging="360"/>
      </w:pPr>
      <w:rPr>
        <w:rFonts w:ascii="Sylfaen" w:eastAsiaTheme="minorHAnsi" w:hAnsi="Sylfaen" w:cs="AcadNusx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88F77CF"/>
    <w:multiLevelType w:val="hybridMultilevel"/>
    <w:tmpl w:val="67FE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54AD1"/>
    <w:multiLevelType w:val="hybridMultilevel"/>
    <w:tmpl w:val="D3B68F16"/>
    <w:lvl w:ilvl="0" w:tplc="A40003C0">
      <w:numFmt w:val="bullet"/>
      <w:lvlText w:val="-"/>
      <w:lvlJc w:val="left"/>
      <w:pPr>
        <w:ind w:left="864" w:hanging="360"/>
      </w:pPr>
      <w:rPr>
        <w:rFonts w:ascii="AcadNusx" w:eastAsia="Times New Roman" w:hAnsi="AcadNusx" w:hint="default"/>
      </w:rPr>
    </w:lvl>
    <w:lvl w:ilvl="1" w:tplc="5CB297E4">
      <w:numFmt w:val="bullet"/>
      <w:lvlText w:val="•"/>
      <w:lvlJc w:val="left"/>
      <w:pPr>
        <w:ind w:left="1584" w:hanging="360"/>
      </w:pPr>
      <w:rPr>
        <w:rFonts w:ascii="AcadNusx" w:eastAsiaTheme="minorHAnsi" w:hAnsi="AcadNusx" w:cstheme="minorBidi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6">
    <w:nsid w:val="6FBC6150"/>
    <w:multiLevelType w:val="hybridMultilevel"/>
    <w:tmpl w:val="9806A17E"/>
    <w:lvl w:ilvl="0" w:tplc="BAD8A7B0">
      <w:start w:val="1"/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E6C63"/>
    <w:multiLevelType w:val="hybridMultilevel"/>
    <w:tmpl w:val="EC5AC3F4"/>
    <w:lvl w:ilvl="0" w:tplc="53DCA352">
      <w:start w:val="1"/>
      <w:numFmt w:val="decimal"/>
      <w:lvlText w:val="%1."/>
      <w:lvlJc w:val="left"/>
      <w:pPr>
        <w:ind w:left="720" w:hanging="360"/>
      </w:pPr>
      <w:rPr>
        <w:rFonts w:ascii="AcadNusx" w:hAnsi="AcadNusx" w:cs="AcadNusx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1"/>
  </w:num>
  <w:num w:numId="3">
    <w:abstractNumId w:val="37"/>
  </w:num>
  <w:num w:numId="4">
    <w:abstractNumId w:val="24"/>
  </w:num>
  <w:num w:numId="5">
    <w:abstractNumId w:val="3"/>
  </w:num>
  <w:num w:numId="6">
    <w:abstractNumId w:val="27"/>
  </w:num>
  <w:num w:numId="7">
    <w:abstractNumId w:val="17"/>
  </w:num>
  <w:num w:numId="8">
    <w:abstractNumId w:val="15"/>
  </w:num>
  <w:num w:numId="9">
    <w:abstractNumId w:val="4"/>
  </w:num>
  <w:num w:numId="10">
    <w:abstractNumId w:val="31"/>
  </w:num>
  <w:num w:numId="11">
    <w:abstractNumId w:val="9"/>
  </w:num>
  <w:num w:numId="12">
    <w:abstractNumId w:val="10"/>
  </w:num>
  <w:num w:numId="13">
    <w:abstractNumId w:val="20"/>
  </w:num>
  <w:num w:numId="14">
    <w:abstractNumId w:val="14"/>
  </w:num>
  <w:num w:numId="15">
    <w:abstractNumId w:val="7"/>
  </w:num>
  <w:num w:numId="16">
    <w:abstractNumId w:val="1"/>
  </w:num>
  <w:num w:numId="17">
    <w:abstractNumId w:val="22"/>
  </w:num>
  <w:num w:numId="18">
    <w:abstractNumId w:val="30"/>
  </w:num>
  <w:num w:numId="19">
    <w:abstractNumId w:val="25"/>
  </w:num>
  <w:num w:numId="20">
    <w:abstractNumId w:val="2"/>
  </w:num>
  <w:num w:numId="21">
    <w:abstractNumId w:val="32"/>
  </w:num>
  <w:num w:numId="22">
    <w:abstractNumId w:val="26"/>
  </w:num>
  <w:num w:numId="23">
    <w:abstractNumId w:val="23"/>
  </w:num>
  <w:num w:numId="24">
    <w:abstractNumId w:val="33"/>
  </w:num>
  <w:num w:numId="25">
    <w:abstractNumId w:val="0"/>
  </w:num>
  <w:num w:numId="26">
    <w:abstractNumId w:val="13"/>
  </w:num>
  <w:num w:numId="27">
    <w:abstractNumId w:val="34"/>
  </w:num>
  <w:num w:numId="28">
    <w:abstractNumId w:val="6"/>
  </w:num>
  <w:num w:numId="29">
    <w:abstractNumId w:val="19"/>
  </w:num>
  <w:num w:numId="30">
    <w:abstractNumId w:val="18"/>
  </w:num>
  <w:num w:numId="31">
    <w:abstractNumId w:val="29"/>
  </w:num>
  <w:num w:numId="32">
    <w:abstractNumId w:val="16"/>
  </w:num>
  <w:num w:numId="33">
    <w:abstractNumId w:val="21"/>
  </w:num>
  <w:num w:numId="34">
    <w:abstractNumId w:val="35"/>
  </w:num>
  <w:num w:numId="35">
    <w:abstractNumId w:val="8"/>
  </w:num>
  <w:num w:numId="36">
    <w:abstractNumId w:val="5"/>
  </w:num>
  <w:num w:numId="37">
    <w:abstractNumId w:val="12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D63E5"/>
    <w:rsid w:val="00045B37"/>
    <w:rsid w:val="0006365C"/>
    <w:rsid w:val="002F63B0"/>
    <w:rsid w:val="003810FA"/>
    <w:rsid w:val="003D45FC"/>
    <w:rsid w:val="003D63E5"/>
    <w:rsid w:val="004057B0"/>
    <w:rsid w:val="00471140"/>
    <w:rsid w:val="00493489"/>
    <w:rsid w:val="004A1A68"/>
    <w:rsid w:val="004B3659"/>
    <w:rsid w:val="00510A6A"/>
    <w:rsid w:val="0072513B"/>
    <w:rsid w:val="00881DF3"/>
    <w:rsid w:val="008C2D50"/>
    <w:rsid w:val="00A23DC5"/>
    <w:rsid w:val="00A8737A"/>
    <w:rsid w:val="00A90809"/>
    <w:rsid w:val="00A970CE"/>
    <w:rsid w:val="00BB5B1A"/>
    <w:rsid w:val="00C042E5"/>
    <w:rsid w:val="00C941CF"/>
    <w:rsid w:val="00CD1AAE"/>
    <w:rsid w:val="00D94E01"/>
    <w:rsid w:val="00DE6801"/>
    <w:rsid w:val="00EE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E5"/>
    <w:rPr>
      <w:rFonts w:ascii="Calibri" w:eastAsia="Calibri" w:hAnsi="Calibri" w:cs="Calibri"/>
      <w:lang w:val="ru-RU"/>
    </w:rPr>
  </w:style>
  <w:style w:type="paragraph" w:styleId="Heading1">
    <w:name w:val="heading 1"/>
    <w:basedOn w:val="Normal"/>
    <w:next w:val="Normal"/>
    <w:link w:val="Heading1Char"/>
    <w:qFormat/>
    <w:rsid w:val="003D63E5"/>
    <w:pPr>
      <w:keepNext/>
      <w:keepLines/>
      <w:numPr>
        <w:numId w:val="28"/>
      </w:numPr>
      <w:overflowPunct w:val="0"/>
      <w:autoSpaceDE w:val="0"/>
      <w:autoSpaceDN w:val="0"/>
      <w:adjustRightInd w:val="0"/>
      <w:spacing w:before="360" w:after="180" w:line="240" w:lineRule="auto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val="en-GB" w:eastAsia="sv-SE"/>
    </w:rPr>
  </w:style>
  <w:style w:type="paragraph" w:styleId="Heading2">
    <w:name w:val="heading 2"/>
    <w:basedOn w:val="Normal"/>
    <w:next w:val="Normal"/>
    <w:link w:val="Heading2Char"/>
    <w:qFormat/>
    <w:rsid w:val="003D63E5"/>
    <w:pPr>
      <w:keepNext/>
      <w:keepLines/>
      <w:numPr>
        <w:ilvl w:val="1"/>
        <w:numId w:val="28"/>
      </w:numPr>
      <w:overflowPunct w:val="0"/>
      <w:autoSpaceDE w:val="0"/>
      <w:autoSpaceDN w:val="0"/>
      <w:adjustRightInd w:val="0"/>
      <w:spacing w:before="120" w:after="180" w:line="240" w:lineRule="auto"/>
      <w:textAlignment w:val="baseline"/>
      <w:outlineLvl w:val="1"/>
    </w:pPr>
    <w:rPr>
      <w:rFonts w:ascii="Arial" w:eastAsia="Times New Roman" w:hAnsi="Arial" w:cs="Times New Roman"/>
      <w:b/>
      <w:sz w:val="28"/>
      <w:szCs w:val="20"/>
      <w:lang w:val="en-GB" w:eastAsia="sv-SE"/>
    </w:rPr>
  </w:style>
  <w:style w:type="paragraph" w:styleId="Heading3">
    <w:name w:val="heading 3"/>
    <w:basedOn w:val="Normal"/>
    <w:next w:val="Normal"/>
    <w:link w:val="Heading3Char"/>
    <w:qFormat/>
    <w:rsid w:val="003D63E5"/>
    <w:pPr>
      <w:keepNext/>
      <w:keepLines/>
      <w:numPr>
        <w:ilvl w:val="2"/>
        <w:numId w:val="28"/>
      </w:numPr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Heading4">
    <w:name w:val="heading 4"/>
    <w:basedOn w:val="Normal"/>
    <w:next w:val="Normal"/>
    <w:link w:val="Heading4Char"/>
    <w:qFormat/>
    <w:rsid w:val="003D63E5"/>
    <w:pPr>
      <w:keepNext/>
      <w:keepLines/>
      <w:numPr>
        <w:ilvl w:val="3"/>
        <w:numId w:val="28"/>
      </w:num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3"/>
    </w:pPr>
    <w:rPr>
      <w:rFonts w:ascii="Times New Roman" w:eastAsia="Times New Roman" w:hAnsi="Times New Roman" w:cs="Times New Roman"/>
      <w:i/>
      <w:sz w:val="24"/>
      <w:szCs w:val="20"/>
      <w:lang w:val="en-GB" w:eastAsia="sv-SE"/>
    </w:rPr>
  </w:style>
  <w:style w:type="paragraph" w:styleId="Heading5">
    <w:name w:val="heading 5"/>
    <w:basedOn w:val="Normal"/>
    <w:next w:val="Normal"/>
    <w:link w:val="Heading5Char"/>
    <w:qFormat/>
    <w:rsid w:val="003D63E5"/>
    <w:pPr>
      <w:keepNext/>
      <w:framePr w:hSpace="141" w:wrap="notBeside" w:hAnchor="margin" w:xAlign="center" w:y="-546"/>
      <w:numPr>
        <w:ilvl w:val="4"/>
        <w:numId w:val="28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0"/>
      <w:u w:val="single"/>
      <w:lang w:val="en-GB" w:eastAsia="sv-SE"/>
    </w:rPr>
  </w:style>
  <w:style w:type="paragraph" w:styleId="Heading6">
    <w:name w:val="heading 6"/>
    <w:basedOn w:val="Normal"/>
    <w:next w:val="Normal"/>
    <w:link w:val="Heading6Char"/>
    <w:qFormat/>
    <w:rsid w:val="003D63E5"/>
    <w:pPr>
      <w:keepNext/>
      <w:numPr>
        <w:ilvl w:val="5"/>
        <w:numId w:val="28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i/>
      <w:iCs/>
      <w:color w:val="3366FF"/>
      <w:sz w:val="32"/>
      <w:szCs w:val="20"/>
      <w:lang w:val="en-GB" w:eastAsia="sv-SE"/>
    </w:rPr>
  </w:style>
  <w:style w:type="paragraph" w:styleId="Heading7">
    <w:name w:val="heading 7"/>
    <w:basedOn w:val="Normal"/>
    <w:next w:val="Normal"/>
    <w:link w:val="Heading7Char"/>
    <w:qFormat/>
    <w:rsid w:val="003D63E5"/>
    <w:pPr>
      <w:numPr>
        <w:ilvl w:val="6"/>
        <w:numId w:val="28"/>
      </w:numPr>
      <w:spacing w:after="0" w:line="240" w:lineRule="auto"/>
      <w:jc w:val="both"/>
      <w:outlineLvl w:val="6"/>
    </w:pPr>
    <w:rPr>
      <w:rFonts w:ascii="Charter" w:eastAsia="Times New Roman" w:hAnsi="Charter" w:cs="Times New Roman"/>
      <w:i/>
      <w:sz w:val="20"/>
      <w:szCs w:val="24"/>
      <w:lang w:val="da-DK" w:eastAsia="da-DK"/>
    </w:rPr>
  </w:style>
  <w:style w:type="paragraph" w:styleId="Heading8">
    <w:name w:val="heading 8"/>
    <w:basedOn w:val="Normal"/>
    <w:next w:val="Normal"/>
    <w:link w:val="Heading8Char"/>
    <w:qFormat/>
    <w:rsid w:val="003D63E5"/>
    <w:pPr>
      <w:numPr>
        <w:ilvl w:val="7"/>
        <w:numId w:val="28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paragraph" w:styleId="Heading9">
    <w:name w:val="heading 9"/>
    <w:basedOn w:val="Normal"/>
    <w:next w:val="Normal"/>
    <w:link w:val="Heading9Char"/>
    <w:qFormat/>
    <w:rsid w:val="003D63E5"/>
    <w:pPr>
      <w:numPr>
        <w:ilvl w:val="8"/>
        <w:numId w:val="28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3E5"/>
    <w:rPr>
      <w:rFonts w:ascii="Arial" w:eastAsia="Times New Roman" w:hAnsi="Arial" w:cs="Times New Roman"/>
      <w:b/>
      <w:sz w:val="32"/>
      <w:szCs w:val="20"/>
      <w:lang w:val="en-GB" w:eastAsia="sv-SE"/>
    </w:rPr>
  </w:style>
  <w:style w:type="character" w:customStyle="1" w:styleId="Heading2Char">
    <w:name w:val="Heading 2 Char"/>
    <w:basedOn w:val="DefaultParagraphFont"/>
    <w:link w:val="Heading2"/>
    <w:rsid w:val="003D63E5"/>
    <w:rPr>
      <w:rFonts w:ascii="Arial" w:eastAsia="Times New Roman" w:hAnsi="Arial" w:cs="Times New Roman"/>
      <w:b/>
      <w:sz w:val="28"/>
      <w:szCs w:val="20"/>
      <w:lang w:val="en-GB" w:eastAsia="sv-SE"/>
    </w:rPr>
  </w:style>
  <w:style w:type="character" w:customStyle="1" w:styleId="Heading3Char">
    <w:name w:val="Heading 3 Char"/>
    <w:basedOn w:val="DefaultParagraphFont"/>
    <w:link w:val="Heading3"/>
    <w:rsid w:val="003D63E5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Heading4Char">
    <w:name w:val="Heading 4 Char"/>
    <w:basedOn w:val="DefaultParagraphFont"/>
    <w:link w:val="Heading4"/>
    <w:rsid w:val="003D63E5"/>
    <w:rPr>
      <w:rFonts w:ascii="Times New Roman" w:eastAsia="Times New Roman" w:hAnsi="Times New Roman" w:cs="Times New Roman"/>
      <w:i/>
      <w:sz w:val="24"/>
      <w:szCs w:val="20"/>
      <w:lang w:val="en-GB" w:eastAsia="sv-SE"/>
    </w:rPr>
  </w:style>
  <w:style w:type="character" w:customStyle="1" w:styleId="Heading5Char">
    <w:name w:val="Heading 5 Char"/>
    <w:basedOn w:val="DefaultParagraphFont"/>
    <w:link w:val="Heading5"/>
    <w:rsid w:val="003D63E5"/>
    <w:rPr>
      <w:rFonts w:ascii="Arial" w:eastAsia="Times New Roman" w:hAnsi="Arial" w:cs="Times New Roman"/>
      <w:b/>
      <w:bCs/>
      <w:sz w:val="24"/>
      <w:szCs w:val="20"/>
      <w:u w:val="single"/>
      <w:lang w:val="en-GB" w:eastAsia="sv-SE"/>
    </w:rPr>
  </w:style>
  <w:style w:type="character" w:customStyle="1" w:styleId="Heading6Char">
    <w:name w:val="Heading 6 Char"/>
    <w:basedOn w:val="DefaultParagraphFont"/>
    <w:link w:val="Heading6"/>
    <w:rsid w:val="003D63E5"/>
    <w:rPr>
      <w:rFonts w:ascii="Times New Roman" w:eastAsia="Times New Roman" w:hAnsi="Times New Roman" w:cs="Times New Roman"/>
      <w:i/>
      <w:iCs/>
      <w:color w:val="3366FF"/>
      <w:sz w:val="32"/>
      <w:szCs w:val="20"/>
      <w:lang w:val="en-GB" w:eastAsia="sv-SE"/>
    </w:rPr>
  </w:style>
  <w:style w:type="character" w:customStyle="1" w:styleId="Heading7Char">
    <w:name w:val="Heading 7 Char"/>
    <w:basedOn w:val="DefaultParagraphFont"/>
    <w:link w:val="Heading7"/>
    <w:rsid w:val="003D63E5"/>
    <w:rPr>
      <w:rFonts w:ascii="Charter" w:eastAsia="Times New Roman" w:hAnsi="Charter" w:cs="Times New Roman"/>
      <w:i/>
      <w:sz w:val="20"/>
      <w:szCs w:val="24"/>
      <w:lang w:val="da-DK" w:eastAsia="da-DK"/>
    </w:rPr>
  </w:style>
  <w:style w:type="character" w:customStyle="1" w:styleId="Heading8Char">
    <w:name w:val="Heading 8 Char"/>
    <w:basedOn w:val="DefaultParagraphFont"/>
    <w:link w:val="Heading8"/>
    <w:rsid w:val="003D63E5"/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character" w:customStyle="1" w:styleId="Heading9Char">
    <w:name w:val="Heading 9 Char"/>
    <w:basedOn w:val="DefaultParagraphFont"/>
    <w:link w:val="Heading9"/>
    <w:rsid w:val="003D63E5"/>
    <w:rPr>
      <w:rFonts w:ascii="Arial" w:eastAsia="Times New Roman" w:hAnsi="Arial" w:cs="Arial"/>
      <w:lang w:val="en-GB" w:eastAsia="sv-SE"/>
    </w:rPr>
  </w:style>
  <w:style w:type="paragraph" w:styleId="ListParagraph">
    <w:name w:val="List Paragraph"/>
    <w:basedOn w:val="Normal"/>
    <w:uiPriority w:val="34"/>
    <w:qFormat/>
    <w:rsid w:val="003D63E5"/>
    <w:pPr>
      <w:ind w:left="720"/>
    </w:pPr>
  </w:style>
  <w:style w:type="paragraph" w:styleId="NormalWeb">
    <w:name w:val="Normal (Web)"/>
    <w:basedOn w:val="Normal"/>
    <w:uiPriority w:val="99"/>
    <w:semiHidden/>
    <w:rsid w:val="003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D63E5"/>
    <w:rPr>
      <w:rFonts w:cs="Times New Roman"/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3D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E5"/>
    <w:rPr>
      <w:rFonts w:ascii="Tahoma" w:eastAsia="Calibri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rsid w:val="003D63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E5"/>
    <w:rPr>
      <w:rFonts w:ascii="Calibri" w:eastAsia="Calibri" w:hAnsi="Calibri" w:cs="Calibri"/>
      <w:lang w:val="ru-RU"/>
    </w:rPr>
  </w:style>
  <w:style w:type="paragraph" w:styleId="Footer">
    <w:name w:val="footer"/>
    <w:basedOn w:val="Normal"/>
    <w:link w:val="FooterChar"/>
    <w:uiPriority w:val="99"/>
    <w:rsid w:val="003D63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E5"/>
    <w:rPr>
      <w:rFonts w:ascii="Calibri" w:eastAsia="Calibri" w:hAnsi="Calibri" w:cs="Calibri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3D63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63E5"/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3E5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6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3E5"/>
    <w:rPr>
      <w:b/>
      <w:bCs/>
    </w:rPr>
  </w:style>
  <w:style w:type="paragraph" w:styleId="Revision">
    <w:name w:val="Revision"/>
    <w:hidden/>
    <w:uiPriority w:val="99"/>
    <w:semiHidden/>
    <w:rsid w:val="003D63E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63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63E5"/>
    <w:rPr>
      <w:rFonts w:ascii="Calibri" w:eastAsia="Calibri" w:hAnsi="Calibri" w:cs="Calibri"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3D63E5"/>
    <w:rPr>
      <w:vertAlign w:val="superscript"/>
    </w:rPr>
  </w:style>
  <w:style w:type="paragraph" w:customStyle="1" w:styleId="Default">
    <w:name w:val="Default"/>
    <w:rsid w:val="003D63E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D63E5"/>
    <w:rPr>
      <w:b/>
      <w:bCs/>
    </w:rPr>
  </w:style>
  <w:style w:type="table" w:styleId="TableGrid">
    <w:name w:val="Table Grid"/>
    <w:basedOn w:val="TableNormal"/>
    <w:uiPriority w:val="59"/>
    <w:rsid w:val="003D63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bphotocaptiontext">
    <w:name w:val="fbphotocaptiontext"/>
    <w:basedOn w:val="DefaultParagraphFont"/>
    <w:rsid w:val="003D63E5"/>
  </w:style>
  <w:style w:type="character" w:styleId="PlaceholderText">
    <w:name w:val="Placeholder Text"/>
    <w:basedOn w:val="DefaultParagraphFont"/>
    <w:uiPriority w:val="99"/>
    <w:semiHidden/>
    <w:rsid w:val="003D63E5"/>
    <w:rPr>
      <w:color w:val="808080"/>
    </w:rPr>
  </w:style>
  <w:style w:type="paragraph" w:customStyle="1" w:styleId="abzacixml">
    <w:name w:val="abzacixml"/>
    <w:basedOn w:val="Normal"/>
    <w:rsid w:val="003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stat.ge/?action=page&amp;p_id=2281&amp;lang=g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1667</Words>
  <Characters>9505</Characters>
  <Application>Microsoft Office Word</Application>
  <DocSecurity>0</DocSecurity>
  <Lines>79</Lines>
  <Paragraphs>22</Paragraphs>
  <ScaleCrop>false</ScaleCrop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mkavelashvili</dc:creator>
  <cp:lastModifiedBy>mariam kavelashvili</cp:lastModifiedBy>
  <cp:revision>12</cp:revision>
  <cp:lastPrinted>2017-04-27T07:01:00Z</cp:lastPrinted>
  <dcterms:created xsi:type="dcterms:W3CDTF">2017-04-12T13:39:00Z</dcterms:created>
  <dcterms:modified xsi:type="dcterms:W3CDTF">2017-04-27T07:02:00Z</dcterms:modified>
</cp:coreProperties>
</file>