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59" w:rsidRPr="00AA5859" w:rsidRDefault="00AA5859" w:rsidP="00AA5859">
      <w:pPr>
        <w:spacing w:line="360" w:lineRule="auto"/>
        <w:jc w:val="right"/>
        <w:rPr>
          <w:rFonts w:ascii="Sylfaen" w:hAnsi="Sylfaen" w:cs="Sylfaen"/>
          <w:b/>
          <w:i/>
          <w:lang w:val="ka-GE"/>
        </w:rPr>
      </w:pPr>
      <w:r w:rsidRPr="00AA5859">
        <w:rPr>
          <w:rFonts w:ascii="Sylfaen" w:hAnsi="Sylfaen" w:cs="Sylfaen"/>
          <w:b/>
          <w:i/>
          <w:lang w:val="ka-GE"/>
        </w:rPr>
        <w:t>დანართი 4</w:t>
      </w:r>
    </w:p>
    <w:p w:rsidR="00EC1CA7" w:rsidRDefault="00EC1CA7" w:rsidP="00EF1EE9">
      <w:pPr>
        <w:spacing w:line="360" w:lineRule="auto"/>
        <w:jc w:val="center"/>
        <w:rPr>
          <w:rFonts w:ascii="Sylfaen" w:hAnsi="Sylfaen" w:cs="Sylfaen"/>
          <w:b/>
          <w:lang w:val="ka-GE"/>
        </w:rPr>
      </w:pPr>
      <w:r>
        <w:rPr>
          <w:rFonts w:ascii="Sylfaen" w:hAnsi="Sylfaen" w:cs="Sylfaen"/>
          <w:b/>
          <w:lang w:val="ka-GE"/>
        </w:rPr>
        <w:t>საქართველოს სტატისტიკის ეროვნული სამსახურის მიერ  201</w:t>
      </w:r>
      <w:r w:rsidR="009F60B4">
        <w:rPr>
          <w:rFonts w:ascii="Sylfaen" w:hAnsi="Sylfaen" w:cs="Sylfaen"/>
          <w:b/>
        </w:rPr>
        <w:t>6</w:t>
      </w:r>
      <w:r>
        <w:rPr>
          <w:rFonts w:ascii="Sylfaen" w:hAnsi="Sylfaen" w:cs="Sylfaen"/>
          <w:b/>
          <w:lang w:val="ka-GE"/>
        </w:rPr>
        <w:t xml:space="preserve"> წელს </w:t>
      </w:r>
    </w:p>
    <w:p w:rsidR="00EC1CA7" w:rsidRPr="00EC1CA7" w:rsidRDefault="00EC1CA7" w:rsidP="00EF1EE9">
      <w:pPr>
        <w:spacing w:line="360" w:lineRule="auto"/>
        <w:jc w:val="center"/>
        <w:rPr>
          <w:rFonts w:ascii="Sylfaen" w:hAnsi="Sylfaen" w:cs="Sylfaen"/>
          <w:b/>
          <w:lang w:val="ka-GE"/>
        </w:rPr>
      </w:pPr>
      <w:r>
        <w:rPr>
          <w:rFonts w:ascii="Sylfaen" w:hAnsi="Sylfaen" w:cs="Sylfaen"/>
          <w:b/>
          <w:lang w:val="ka-GE"/>
        </w:rPr>
        <w:t>გამოქვეყნებული ძირითადი პროდუქტები</w:t>
      </w:r>
    </w:p>
    <w:p w:rsidR="00EC1CA7" w:rsidRDefault="00EC1CA7" w:rsidP="00EF1EE9">
      <w:pPr>
        <w:spacing w:line="360" w:lineRule="auto"/>
        <w:jc w:val="center"/>
        <w:rPr>
          <w:rFonts w:ascii="Sylfaen" w:hAnsi="Sylfaen" w:cs="Sylfaen"/>
          <w:b/>
          <w:lang w:val="it-IT"/>
        </w:rPr>
      </w:pPr>
    </w:p>
    <w:p w:rsidR="00EF1EE9" w:rsidRPr="00783661" w:rsidRDefault="00EF1EE9" w:rsidP="00EF1EE9">
      <w:pPr>
        <w:spacing w:line="360" w:lineRule="auto"/>
        <w:jc w:val="center"/>
        <w:rPr>
          <w:rFonts w:ascii="LiterMtavr" w:hAnsi="LiterMtavr" w:cs="LiterMtavr"/>
          <w:b/>
          <w:lang w:val="it-IT"/>
        </w:rPr>
      </w:pPr>
      <w:r w:rsidRPr="00783661">
        <w:rPr>
          <w:rFonts w:ascii="Sylfaen" w:hAnsi="Sylfaen" w:cs="Sylfaen"/>
          <w:b/>
          <w:lang w:val="it-IT"/>
        </w:rPr>
        <w:t>მთლიანი</w:t>
      </w:r>
      <w:r w:rsidRPr="00783661">
        <w:rPr>
          <w:rFonts w:ascii="LiterMtavr" w:hAnsi="LiterMtavr" w:cs="LiterMtavr"/>
          <w:b/>
          <w:lang w:val="it-IT"/>
        </w:rPr>
        <w:t xml:space="preserve"> </w:t>
      </w:r>
      <w:r w:rsidRPr="00783661">
        <w:rPr>
          <w:rFonts w:ascii="Sylfaen" w:hAnsi="Sylfaen" w:cs="Sylfaen"/>
          <w:b/>
          <w:lang w:val="it-IT"/>
        </w:rPr>
        <w:t>შიდა</w:t>
      </w:r>
      <w:r w:rsidRPr="00783661">
        <w:rPr>
          <w:rFonts w:ascii="LiterMtavr" w:hAnsi="LiterMtavr" w:cs="LiterMtavr"/>
          <w:b/>
          <w:lang w:val="it-IT"/>
        </w:rPr>
        <w:t xml:space="preserve"> </w:t>
      </w:r>
      <w:r w:rsidRPr="00783661">
        <w:rPr>
          <w:rFonts w:ascii="Sylfaen" w:hAnsi="Sylfaen" w:cs="Sylfaen"/>
          <w:b/>
          <w:lang w:val="it-IT"/>
        </w:rPr>
        <w:t>პროდუქტი</w:t>
      </w:r>
      <w:r w:rsidRPr="00783661">
        <w:rPr>
          <w:rFonts w:ascii="LiterMtavr" w:hAnsi="LiterMtavr" w:cs="LiterMtavr"/>
          <w:b/>
          <w:lang w:val="it-IT"/>
        </w:rPr>
        <w:t xml:space="preserve"> 201</w:t>
      </w:r>
      <w:r w:rsidR="00684DC5">
        <w:rPr>
          <w:rFonts w:ascii="LiterMtavr" w:hAnsi="LiterMtavr" w:cs="LiterMtavr"/>
          <w:b/>
          <w:lang w:val="it-IT"/>
        </w:rPr>
        <w:t>6</w:t>
      </w:r>
      <w:r>
        <w:rPr>
          <w:rFonts w:ascii="LiterMtavr" w:hAnsi="LiterMtavr" w:cs="LiterMtavr"/>
          <w:b/>
          <w:lang w:val="it-IT"/>
        </w:rPr>
        <w:t xml:space="preserve"> </w:t>
      </w:r>
      <w:r w:rsidRPr="00783661">
        <w:rPr>
          <w:rFonts w:ascii="Sylfaen" w:hAnsi="Sylfaen" w:cs="Sylfaen"/>
          <w:b/>
          <w:lang w:val="it-IT"/>
        </w:rPr>
        <w:t>წელს</w:t>
      </w:r>
    </w:p>
    <w:p w:rsidR="00484D50" w:rsidRPr="00B67B5D" w:rsidRDefault="00484D50" w:rsidP="007F668F">
      <w:pPr>
        <w:spacing w:line="312" w:lineRule="auto"/>
        <w:ind w:left="-567"/>
        <w:jc w:val="both"/>
        <w:rPr>
          <w:rFonts w:ascii="Sylfaen" w:hAnsi="Sylfaen" w:cs="AcadNusx"/>
          <w:lang w:val="it-IT"/>
        </w:rPr>
      </w:pPr>
      <w:r w:rsidRPr="00B67B5D">
        <w:rPr>
          <w:rFonts w:ascii="Sylfaen" w:hAnsi="Sylfaen"/>
          <w:lang w:val="it-IT"/>
        </w:rPr>
        <w:t>201</w:t>
      </w:r>
      <w:r>
        <w:rPr>
          <w:rFonts w:ascii="Sylfaen" w:hAnsi="Sylfaen"/>
          <w:lang w:val="it-IT"/>
        </w:rPr>
        <w:t>6</w:t>
      </w:r>
      <w:r w:rsidRPr="00B67B5D">
        <w:rPr>
          <w:rFonts w:ascii="Sylfaen" w:hAnsi="Sylfaen"/>
          <w:lang w:val="it-IT"/>
        </w:rPr>
        <w:t xml:space="preserve"> </w:t>
      </w:r>
      <w:r w:rsidRPr="00B67B5D">
        <w:rPr>
          <w:rFonts w:ascii="Sylfaen" w:hAnsi="Sylfaen" w:cs="Sylfaen"/>
          <w:lang w:val="it-IT"/>
        </w:rPr>
        <w:t>წლის</w:t>
      </w:r>
      <w:r w:rsidRPr="00B67B5D">
        <w:rPr>
          <w:rFonts w:ascii="Sylfaen" w:hAnsi="Sylfaen" w:cs="AcadNusx"/>
          <w:lang w:val="it-IT"/>
        </w:rPr>
        <w:t xml:space="preserve"> </w:t>
      </w:r>
      <w:r w:rsidRPr="00B67B5D">
        <w:rPr>
          <w:rFonts w:ascii="Sylfaen" w:hAnsi="Sylfaen" w:cs="Sylfaen"/>
          <w:lang w:val="it-IT"/>
        </w:rPr>
        <w:t>მთლიანი</w:t>
      </w:r>
      <w:r w:rsidRPr="00B67B5D">
        <w:rPr>
          <w:rFonts w:ascii="Sylfaen" w:hAnsi="Sylfaen" w:cs="AcadNusx"/>
          <w:lang w:val="it-IT"/>
        </w:rPr>
        <w:t xml:space="preserve"> </w:t>
      </w:r>
      <w:r w:rsidRPr="00B67B5D">
        <w:rPr>
          <w:rFonts w:ascii="Sylfaen" w:hAnsi="Sylfaen" w:cs="Sylfaen"/>
          <w:lang w:val="it-IT"/>
        </w:rPr>
        <w:t>შიდა</w:t>
      </w:r>
      <w:r w:rsidRPr="00B67B5D">
        <w:rPr>
          <w:rFonts w:ascii="Sylfaen" w:hAnsi="Sylfaen" w:cs="AcadNusx"/>
          <w:lang w:val="it-IT"/>
        </w:rPr>
        <w:t xml:space="preserve"> </w:t>
      </w:r>
      <w:r w:rsidRPr="00B67B5D">
        <w:rPr>
          <w:rFonts w:ascii="Sylfaen" w:hAnsi="Sylfaen" w:cs="Sylfaen"/>
          <w:lang w:val="it-IT"/>
        </w:rPr>
        <w:t>პროდუქტის</w:t>
      </w:r>
      <w:r w:rsidRPr="00B67B5D">
        <w:rPr>
          <w:rFonts w:ascii="Sylfaen" w:hAnsi="Sylfaen" w:cs="AcadNusx"/>
          <w:lang w:val="it-IT"/>
        </w:rPr>
        <w:t xml:space="preserve"> </w:t>
      </w:r>
      <w:r w:rsidRPr="00B67B5D">
        <w:rPr>
          <w:rFonts w:ascii="Sylfaen" w:hAnsi="Sylfaen" w:cs="Sylfaen"/>
          <w:lang w:val="it-IT"/>
        </w:rPr>
        <w:t>მაჩვენებელმა</w:t>
      </w:r>
      <w:r w:rsidRPr="00B67B5D">
        <w:rPr>
          <w:rFonts w:ascii="Sylfaen" w:hAnsi="Sylfaen" w:cs="AcadNusx"/>
          <w:lang w:val="it-IT"/>
        </w:rPr>
        <w:t xml:space="preserve"> </w:t>
      </w:r>
      <w:r>
        <w:rPr>
          <w:rFonts w:ascii="Sylfaen" w:hAnsi="Sylfaen" w:cs="Sylfaen"/>
          <w:lang w:val="ka-GE"/>
        </w:rPr>
        <w:t>წინასწარი</w:t>
      </w:r>
      <w:r w:rsidRPr="00B67B5D">
        <w:rPr>
          <w:rFonts w:ascii="Sylfaen" w:hAnsi="Sylfaen" w:cs="Sylfaen"/>
          <w:lang w:val="ka-GE"/>
        </w:rPr>
        <w:t xml:space="preserve"> </w:t>
      </w:r>
      <w:r w:rsidRPr="00B67B5D">
        <w:rPr>
          <w:rFonts w:ascii="Sylfaen" w:hAnsi="Sylfaen" w:cs="Sylfaen"/>
          <w:lang w:val="it-IT"/>
        </w:rPr>
        <w:t>მონაცემებით</w:t>
      </w:r>
      <w:r w:rsidRPr="00B67B5D">
        <w:rPr>
          <w:rFonts w:ascii="Sylfaen" w:hAnsi="Sylfaen" w:cs="AcadNusx"/>
          <w:lang w:val="it-IT"/>
        </w:rPr>
        <w:t xml:space="preserve">, </w:t>
      </w:r>
      <w:r w:rsidRPr="00B67B5D">
        <w:rPr>
          <w:rFonts w:ascii="Sylfaen" w:hAnsi="Sylfaen" w:cs="Sylfaen"/>
          <w:lang w:val="it-IT"/>
        </w:rPr>
        <w:t>მიმდინარე</w:t>
      </w:r>
      <w:r w:rsidRPr="00B67B5D">
        <w:rPr>
          <w:rFonts w:ascii="Sylfaen" w:hAnsi="Sylfaen" w:cs="AcadNusx"/>
          <w:lang w:val="it-IT"/>
        </w:rPr>
        <w:t xml:space="preserve"> </w:t>
      </w:r>
      <w:r w:rsidRPr="00B67B5D">
        <w:rPr>
          <w:rFonts w:ascii="Sylfaen" w:hAnsi="Sylfaen" w:cs="Sylfaen"/>
          <w:lang w:val="it-IT"/>
        </w:rPr>
        <w:t>ფასებში</w:t>
      </w:r>
      <w:r>
        <w:rPr>
          <w:rFonts w:ascii="Sylfaen" w:hAnsi="Sylfaen" w:cs="AcadNusx"/>
          <w:lang w:val="it-IT"/>
        </w:rPr>
        <w:t xml:space="preserve"> 33 921,6</w:t>
      </w:r>
      <w:r w:rsidRPr="00B67B5D">
        <w:rPr>
          <w:rFonts w:ascii="Sylfaen" w:hAnsi="Sylfaen" w:cs="AcadNusx"/>
          <w:lang w:val="it-IT"/>
        </w:rPr>
        <w:t xml:space="preserve"> </w:t>
      </w:r>
      <w:r w:rsidRPr="00B67B5D">
        <w:rPr>
          <w:rFonts w:ascii="Sylfaen" w:hAnsi="Sylfaen" w:cs="Sylfaen"/>
          <w:lang w:val="it-IT"/>
        </w:rPr>
        <w:t>მლნ</w:t>
      </w:r>
      <w:r w:rsidRPr="00B67B5D">
        <w:rPr>
          <w:rFonts w:ascii="Sylfaen" w:hAnsi="Sylfaen" w:cs="AcadNusx"/>
          <w:lang w:val="it-IT"/>
        </w:rPr>
        <w:t xml:space="preserve">. </w:t>
      </w:r>
      <w:r w:rsidRPr="00B67B5D">
        <w:rPr>
          <w:rFonts w:ascii="Sylfaen" w:hAnsi="Sylfaen" w:cs="Sylfaen"/>
          <w:lang w:val="it-IT"/>
        </w:rPr>
        <w:t>ლარი</w:t>
      </w:r>
      <w:r w:rsidRPr="00B67B5D">
        <w:rPr>
          <w:rFonts w:ascii="Sylfaen" w:hAnsi="Sylfaen" w:cs="AcadNusx"/>
          <w:lang w:val="it-IT"/>
        </w:rPr>
        <w:t xml:space="preserve"> </w:t>
      </w:r>
      <w:r w:rsidRPr="00B67B5D">
        <w:rPr>
          <w:rFonts w:ascii="Sylfaen" w:hAnsi="Sylfaen" w:cs="Sylfaen"/>
          <w:lang w:val="it-IT"/>
        </w:rPr>
        <w:t>შეადგინა</w:t>
      </w:r>
      <w:r w:rsidRPr="00B67B5D">
        <w:rPr>
          <w:rFonts w:ascii="Sylfaen" w:hAnsi="Sylfaen" w:cs="AcadNusx"/>
          <w:lang w:val="it-IT"/>
        </w:rPr>
        <w:t xml:space="preserve">, </w:t>
      </w:r>
      <w:r w:rsidRPr="00B67B5D">
        <w:rPr>
          <w:rFonts w:ascii="Sylfaen" w:hAnsi="Sylfaen" w:cs="Sylfaen"/>
          <w:lang w:val="it-IT"/>
        </w:rPr>
        <w:t>რაც</w:t>
      </w:r>
      <w:r w:rsidRPr="00B67B5D">
        <w:rPr>
          <w:rFonts w:ascii="Sylfaen" w:hAnsi="Sylfaen" w:cs="AcadNusx"/>
          <w:lang w:val="it-IT"/>
        </w:rPr>
        <w:t xml:space="preserve"> </w:t>
      </w:r>
      <w:r>
        <w:rPr>
          <w:rFonts w:ascii="Sylfaen" w:hAnsi="Sylfaen" w:cs="AcadNusx"/>
          <w:lang w:val="it-IT"/>
        </w:rPr>
        <w:t>6</w:t>
      </w:r>
      <w:r>
        <w:rPr>
          <w:rFonts w:ascii="Sylfaen" w:hAnsi="Sylfaen" w:cs="AcadNusx"/>
          <w:lang w:val="ka-GE"/>
        </w:rPr>
        <w:t>,</w:t>
      </w:r>
      <w:r>
        <w:rPr>
          <w:rFonts w:ascii="Sylfaen" w:hAnsi="Sylfaen" w:cs="AcadNusx"/>
        </w:rPr>
        <w:t>8</w:t>
      </w:r>
      <w:r w:rsidRPr="00B67B5D">
        <w:rPr>
          <w:rFonts w:ascii="Sylfaen" w:hAnsi="Sylfaen" w:cs="AcadNusx"/>
          <w:lang w:val="it-IT"/>
        </w:rPr>
        <w:t xml:space="preserve"> </w:t>
      </w:r>
      <w:r w:rsidRPr="00B67B5D">
        <w:rPr>
          <w:rFonts w:ascii="Sylfaen" w:hAnsi="Sylfaen" w:cs="Sylfaen"/>
          <w:lang w:val="it-IT"/>
        </w:rPr>
        <w:t>პროცენტით</w:t>
      </w:r>
      <w:r w:rsidRPr="00B67B5D">
        <w:rPr>
          <w:rFonts w:ascii="Sylfaen" w:hAnsi="Sylfaen" w:cs="AcadNusx"/>
          <w:lang w:val="it-IT"/>
        </w:rPr>
        <w:t xml:space="preserve"> </w:t>
      </w:r>
      <w:r w:rsidRPr="00B67B5D">
        <w:rPr>
          <w:rFonts w:ascii="Sylfaen" w:hAnsi="Sylfaen" w:cs="Sylfaen"/>
          <w:lang w:val="it-IT"/>
        </w:rPr>
        <w:t>აღემატება</w:t>
      </w:r>
      <w:r w:rsidRPr="00B67B5D">
        <w:rPr>
          <w:rFonts w:ascii="Sylfaen" w:hAnsi="Sylfaen" w:cs="AcadNusx"/>
          <w:lang w:val="it-IT"/>
        </w:rPr>
        <w:t xml:space="preserve"> </w:t>
      </w:r>
      <w:r w:rsidRPr="00B67B5D">
        <w:rPr>
          <w:rFonts w:ascii="Sylfaen" w:hAnsi="Sylfaen" w:cs="Sylfaen"/>
          <w:lang w:val="it-IT"/>
        </w:rPr>
        <w:t>წინა</w:t>
      </w:r>
      <w:r w:rsidRPr="00B67B5D">
        <w:rPr>
          <w:rFonts w:ascii="Sylfaen" w:hAnsi="Sylfaen" w:cs="AcadNusx"/>
          <w:lang w:val="it-IT"/>
        </w:rPr>
        <w:t xml:space="preserve"> </w:t>
      </w:r>
      <w:r w:rsidRPr="00B67B5D">
        <w:rPr>
          <w:rFonts w:ascii="Sylfaen" w:hAnsi="Sylfaen" w:cs="Sylfaen"/>
          <w:lang w:val="it-IT"/>
        </w:rPr>
        <w:t>წლის</w:t>
      </w:r>
      <w:r w:rsidRPr="00B67B5D">
        <w:rPr>
          <w:rFonts w:ascii="Sylfaen" w:hAnsi="Sylfaen" w:cs="AcadNusx"/>
          <w:lang w:val="it-IT"/>
        </w:rPr>
        <w:t xml:space="preserve"> </w:t>
      </w:r>
      <w:r w:rsidRPr="00B67B5D">
        <w:rPr>
          <w:rFonts w:ascii="Sylfaen" w:hAnsi="Sylfaen" w:cs="Sylfaen"/>
          <w:lang w:val="it-IT"/>
        </w:rPr>
        <w:t>ანალოგიურ</w:t>
      </w:r>
      <w:r w:rsidRPr="00B67B5D">
        <w:rPr>
          <w:rFonts w:ascii="Sylfaen" w:hAnsi="Sylfaen" w:cs="AcadNusx"/>
          <w:lang w:val="it-IT"/>
        </w:rPr>
        <w:t xml:space="preserve"> </w:t>
      </w:r>
      <w:r w:rsidRPr="00B67B5D">
        <w:rPr>
          <w:rFonts w:ascii="Sylfaen" w:hAnsi="Sylfaen" w:cs="Sylfaen"/>
          <w:lang w:val="it-IT"/>
        </w:rPr>
        <w:t>მაჩვენებელს</w:t>
      </w:r>
      <w:r w:rsidRPr="00B67B5D">
        <w:rPr>
          <w:rFonts w:ascii="Sylfaen" w:hAnsi="Sylfaen" w:cs="AcadNusx"/>
          <w:lang w:val="it-IT"/>
        </w:rPr>
        <w:t>.</w:t>
      </w:r>
    </w:p>
    <w:p w:rsidR="00484D50" w:rsidRPr="00B67B5D" w:rsidRDefault="00484D50" w:rsidP="007F668F">
      <w:pPr>
        <w:spacing w:line="312" w:lineRule="auto"/>
        <w:ind w:left="-567"/>
        <w:jc w:val="both"/>
        <w:rPr>
          <w:rFonts w:ascii="Sylfaen" w:hAnsi="Sylfaen" w:cs="AcadNusx"/>
          <w:lang w:val="it-IT"/>
        </w:rPr>
      </w:pPr>
      <w:r w:rsidRPr="00B67B5D">
        <w:rPr>
          <w:rFonts w:ascii="Sylfaen" w:hAnsi="Sylfaen" w:cs="Sylfaen"/>
          <w:lang w:val="it-IT"/>
        </w:rPr>
        <w:t>მთლიანი</w:t>
      </w:r>
      <w:r w:rsidRPr="00B67B5D">
        <w:rPr>
          <w:rFonts w:ascii="Sylfaen" w:hAnsi="Sylfaen" w:cs="AcadNusx"/>
          <w:lang w:val="it-IT"/>
        </w:rPr>
        <w:t xml:space="preserve"> </w:t>
      </w:r>
      <w:r w:rsidRPr="00B67B5D">
        <w:rPr>
          <w:rFonts w:ascii="Sylfaen" w:hAnsi="Sylfaen" w:cs="Sylfaen"/>
          <w:lang w:val="it-IT"/>
        </w:rPr>
        <w:t>შიდა</w:t>
      </w:r>
      <w:r w:rsidRPr="00B67B5D">
        <w:rPr>
          <w:rFonts w:ascii="Sylfaen" w:hAnsi="Sylfaen" w:cs="AcadNusx"/>
          <w:lang w:val="it-IT"/>
        </w:rPr>
        <w:t xml:space="preserve"> </w:t>
      </w:r>
      <w:r w:rsidRPr="00B67B5D">
        <w:rPr>
          <w:rFonts w:ascii="Sylfaen" w:hAnsi="Sylfaen" w:cs="Sylfaen"/>
          <w:lang w:val="it-IT"/>
        </w:rPr>
        <w:t>პროდუქტის</w:t>
      </w:r>
      <w:r w:rsidRPr="00B67B5D">
        <w:rPr>
          <w:rFonts w:ascii="Sylfaen" w:hAnsi="Sylfaen" w:cs="AcadNusx"/>
          <w:lang w:val="it-IT"/>
        </w:rPr>
        <w:t xml:space="preserve"> </w:t>
      </w:r>
      <w:r w:rsidRPr="00B67B5D">
        <w:rPr>
          <w:rFonts w:ascii="Sylfaen" w:hAnsi="Sylfaen" w:cs="Sylfaen"/>
          <w:lang w:val="it-IT"/>
        </w:rPr>
        <w:t>რეალური</w:t>
      </w:r>
      <w:r w:rsidRPr="00B67B5D">
        <w:rPr>
          <w:rFonts w:ascii="Sylfaen" w:hAnsi="Sylfaen" w:cs="AcadNusx"/>
          <w:lang w:val="it-IT"/>
        </w:rPr>
        <w:t xml:space="preserve"> </w:t>
      </w:r>
      <w:r w:rsidRPr="00B67B5D">
        <w:rPr>
          <w:rFonts w:ascii="Sylfaen" w:hAnsi="Sylfaen" w:cs="Sylfaen"/>
          <w:lang w:val="it-IT"/>
        </w:rPr>
        <w:t>ზრდა</w:t>
      </w:r>
      <w:r w:rsidRPr="00B67B5D">
        <w:rPr>
          <w:rFonts w:ascii="Sylfaen" w:hAnsi="Sylfaen" w:cs="AcadNusx"/>
          <w:lang w:val="it-IT"/>
        </w:rPr>
        <w:t xml:space="preserve"> </w:t>
      </w:r>
      <w:r w:rsidRPr="00B67B5D">
        <w:rPr>
          <w:rFonts w:ascii="Sylfaen" w:hAnsi="Sylfaen" w:cs="Sylfaen"/>
          <w:lang w:val="it-IT"/>
        </w:rPr>
        <w:t>წინა</w:t>
      </w:r>
      <w:r w:rsidRPr="00B67B5D">
        <w:rPr>
          <w:rFonts w:ascii="Sylfaen" w:hAnsi="Sylfaen" w:cs="AcadNusx"/>
          <w:lang w:val="it-IT"/>
        </w:rPr>
        <w:t xml:space="preserve"> </w:t>
      </w:r>
      <w:r w:rsidRPr="00B67B5D">
        <w:rPr>
          <w:rFonts w:ascii="Sylfaen" w:hAnsi="Sylfaen" w:cs="Sylfaen"/>
          <w:lang w:val="it-IT"/>
        </w:rPr>
        <w:t>წელთან</w:t>
      </w:r>
      <w:r w:rsidRPr="00B67B5D">
        <w:rPr>
          <w:rFonts w:ascii="Sylfaen" w:hAnsi="Sylfaen" w:cs="AcadNusx"/>
          <w:lang w:val="it-IT"/>
        </w:rPr>
        <w:t xml:space="preserve"> </w:t>
      </w:r>
      <w:r w:rsidRPr="00B67B5D">
        <w:rPr>
          <w:rFonts w:ascii="Sylfaen" w:hAnsi="Sylfaen" w:cs="Sylfaen"/>
          <w:lang w:val="it-IT"/>
        </w:rPr>
        <w:t>შედარებით</w:t>
      </w:r>
      <w:r w:rsidRPr="00B67B5D">
        <w:rPr>
          <w:rFonts w:ascii="Sylfaen" w:hAnsi="Sylfaen" w:cs="AcadNusx"/>
          <w:lang w:val="it-IT"/>
        </w:rPr>
        <w:t xml:space="preserve"> </w:t>
      </w:r>
      <w:r>
        <w:rPr>
          <w:rFonts w:ascii="Sylfaen" w:hAnsi="Sylfaen" w:cs="AcadNusx"/>
        </w:rPr>
        <w:t>2</w:t>
      </w:r>
      <w:r>
        <w:rPr>
          <w:rFonts w:ascii="Sylfaen" w:hAnsi="Sylfaen" w:cs="AcadNusx"/>
          <w:lang w:val="ka-GE"/>
        </w:rPr>
        <w:t>,</w:t>
      </w:r>
      <w:r>
        <w:rPr>
          <w:rFonts w:ascii="Sylfaen" w:hAnsi="Sylfaen" w:cs="AcadNusx"/>
        </w:rPr>
        <w:t>7</w:t>
      </w:r>
      <w:r w:rsidRPr="00B67B5D">
        <w:rPr>
          <w:rFonts w:ascii="Sylfaen" w:hAnsi="Sylfaen" w:cs="AcadNusx"/>
          <w:lang w:val="it-IT"/>
        </w:rPr>
        <w:t xml:space="preserve"> </w:t>
      </w:r>
      <w:r w:rsidRPr="00B67B5D">
        <w:rPr>
          <w:rFonts w:ascii="Sylfaen" w:hAnsi="Sylfaen" w:cs="Sylfaen"/>
          <w:lang w:val="it-IT"/>
        </w:rPr>
        <w:t>პროცენტით განისაზღვრა</w:t>
      </w:r>
      <w:r w:rsidRPr="00B67B5D">
        <w:rPr>
          <w:rFonts w:ascii="Sylfaen" w:hAnsi="Sylfaen" w:cs="AcadNusx"/>
          <w:lang w:val="it-IT"/>
        </w:rPr>
        <w:t xml:space="preserve">, </w:t>
      </w:r>
      <w:r w:rsidRPr="00B67B5D">
        <w:rPr>
          <w:rFonts w:ascii="Sylfaen" w:hAnsi="Sylfaen" w:cs="Sylfaen"/>
          <w:lang w:val="it-IT"/>
        </w:rPr>
        <w:t>ხოლო</w:t>
      </w:r>
      <w:r w:rsidRPr="00B67B5D">
        <w:rPr>
          <w:rFonts w:ascii="Sylfaen" w:hAnsi="Sylfaen" w:cs="AcadNusx"/>
          <w:lang w:val="it-IT"/>
        </w:rPr>
        <w:t xml:space="preserve"> </w:t>
      </w:r>
      <w:r w:rsidRPr="00B67B5D">
        <w:rPr>
          <w:rFonts w:ascii="Sylfaen" w:hAnsi="Sylfaen" w:cs="Sylfaen"/>
          <w:lang w:val="it-IT"/>
        </w:rPr>
        <w:t xml:space="preserve">დეფლატორი </w:t>
      </w:r>
      <w:r>
        <w:rPr>
          <w:rFonts w:ascii="Sylfaen" w:hAnsi="Sylfaen" w:cs="Sylfaen"/>
          <w:lang w:val="ka-GE"/>
        </w:rPr>
        <w:t>გაიზარდა</w:t>
      </w:r>
      <w:r w:rsidRPr="00B67B5D">
        <w:rPr>
          <w:rFonts w:ascii="Sylfaen" w:hAnsi="Sylfaen" w:cs="Sylfaen"/>
        </w:rPr>
        <w:t xml:space="preserve"> </w:t>
      </w:r>
      <w:r>
        <w:rPr>
          <w:rFonts w:ascii="Sylfaen" w:hAnsi="Sylfaen" w:cs="Sylfaen"/>
        </w:rPr>
        <w:t>4</w:t>
      </w:r>
      <w:r>
        <w:rPr>
          <w:rFonts w:ascii="Sylfaen" w:hAnsi="Sylfaen" w:cs="Sylfaen"/>
          <w:lang w:val="ka-GE"/>
        </w:rPr>
        <w:t>,</w:t>
      </w:r>
      <w:r>
        <w:rPr>
          <w:rFonts w:ascii="Sylfaen" w:hAnsi="Sylfaen" w:cs="Sylfaen"/>
        </w:rPr>
        <w:t>0</w:t>
      </w:r>
      <w:r w:rsidRPr="00B67B5D">
        <w:rPr>
          <w:rFonts w:ascii="Sylfaen" w:hAnsi="Sylfaen" w:cs="AcadNusx"/>
          <w:lang w:val="it-IT"/>
        </w:rPr>
        <w:t xml:space="preserve"> </w:t>
      </w:r>
      <w:r w:rsidRPr="00B67B5D">
        <w:rPr>
          <w:rFonts w:ascii="Sylfaen" w:hAnsi="Sylfaen" w:cs="Sylfaen"/>
          <w:lang w:val="it-IT"/>
        </w:rPr>
        <w:t>პროცენტით</w:t>
      </w:r>
      <w:r w:rsidRPr="00B67B5D">
        <w:rPr>
          <w:rFonts w:ascii="Sylfaen" w:hAnsi="Sylfaen" w:cs="AcadNusx"/>
          <w:lang w:val="it-IT"/>
        </w:rPr>
        <w:t>.</w:t>
      </w:r>
    </w:p>
    <w:p w:rsidR="000473DB" w:rsidRPr="00AA041B" w:rsidRDefault="00484D50" w:rsidP="007F668F">
      <w:pPr>
        <w:spacing w:line="312" w:lineRule="auto"/>
        <w:rPr>
          <w:rFonts w:ascii="Sylfaen" w:hAnsi="Sylfaen" w:cs="AcadNusx"/>
          <w:color w:val="FF0000"/>
          <w:lang w:val="it-IT"/>
        </w:rPr>
      </w:pPr>
      <w:r w:rsidRPr="00484D50">
        <w:rPr>
          <w:rFonts w:ascii="Sylfaen" w:hAnsi="Sylfaen" w:cs="AcadNusx"/>
          <w:noProof/>
          <w:color w:val="FF0000"/>
        </w:rPr>
        <w:drawing>
          <wp:inline distT="0" distB="0" distL="0" distR="0">
            <wp:extent cx="5715000" cy="2469867"/>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73DB" w:rsidRPr="00C91BA9" w:rsidRDefault="000473DB" w:rsidP="007F668F">
      <w:pPr>
        <w:tabs>
          <w:tab w:val="left" w:pos="1125"/>
          <w:tab w:val="center" w:pos="4953"/>
        </w:tabs>
        <w:spacing w:line="312" w:lineRule="auto"/>
        <w:rPr>
          <w:rFonts w:ascii="Sylfaen" w:hAnsi="Sylfaen" w:cs="AcadNusx"/>
          <w:lang w:val="it-IT"/>
        </w:rPr>
      </w:pPr>
      <w:r w:rsidRPr="00C91BA9">
        <w:rPr>
          <w:sz w:val="20"/>
          <w:szCs w:val="20"/>
        </w:rPr>
        <w:t xml:space="preserve">* </w:t>
      </w:r>
      <w:r w:rsidRPr="00C91BA9">
        <w:rPr>
          <w:rFonts w:ascii="Sylfaen" w:hAnsi="Sylfaen" w:cs="Sylfaen"/>
          <w:sz w:val="20"/>
          <w:szCs w:val="20"/>
        </w:rPr>
        <w:t>წინასწარი</w:t>
      </w:r>
      <w:r w:rsidRPr="00C91BA9">
        <w:rPr>
          <w:sz w:val="20"/>
          <w:szCs w:val="20"/>
        </w:rPr>
        <w:t xml:space="preserve"> </w:t>
      </w:r>
      <w:r w:rsidRPr="00C91BA9">
        <w:rPr>
          <w:rFonts w:ascii="Sylfaen" w:hAnsi="Sylfaen" w:cs="Sylfaen"/>
          <w:sz w:val="20"/>
          <w:szCs w:val="20"/>
        </w:rPr>
        <w:t>მონაცემები</w:t>
      </w:r>
    </w:p>
    <w:p w:rsidR="00484D50" w:rsidRPr="00C30D98" w:rsidRDefault="00484D50" w:rsidP="007F668F">
      <w:pPr>
        <w:spacing w:line="312" w:lineRule="auto"/>
        <w:ind w:left="-567"/>
        <w:jc w:val="both"/>
        <w:rPr>
          <w:rFonts w:ascii="Sylfaen" w:hAnsi="Sylfaen" w:cs="AcadNusx"/>
          <w:lang w:val="ka-GE"/>
        </w:rPr>
      </w:pPr>
      <w:r w:rsidRPr="00DA2DDA">
        <w:rPr>
          <w:rFonts w:ascii="Sylfaen" w:hAnsi="Sylfaen" w:cs="Sylfaen"/>
          <w:lang w:val="it-IT"/>
        </w:rPr>
        <w:t>მთლიანი</w:t>
      </w:r>
      <w:r w:rsidRPr="00DA2DDA">
        <w:rPr>
          <w:rFonts w:ascii="Sylfaen" w:hAnsi="Sylfaen" w:cs="AcadNusx"/>
          <w:lang w:val="it-IT"/>
        </w:rPr>
        <w:t xml:space="preserve"> </w:t>
      </w:r>
      <w:r w:rsidRPr="00DA2DDA">
        <w:rPr>
          <w:rFonts w:ascii="Sylfaen" w:hAnsi="Sylfaen" w:cs="Sylfaen"/>
          <w:lang w:val="it-IT"/>
        </w:rPr>
        <w:t>შიდა</w:t>
      </w:r>
      <w:r w:rsidRPr="00DA2DDA">
        <w:rPr>
          <w:rFonts w:ascii="Sylfaen" w:hAnsi="Sylfaen" w:cs="AcadNusx"/>
          <w:lang w:val="it-IT"/>
        </w:rPr>
        <w:t xml:space="preserve"> </w:t>
      </w:r>
      <w:r w:rsidRPr="00DA2DDA">
        <w:rPr>
          <w:rFonts w:ascii="Sylfaen" w:hAnsi="Sylfaen" w:cs="Sylfaen"/>
          <w:lang w:val="it-IT"/>
        </w:rPr>
        <w:t>პროდუქტის</w:t>
      </w:r>
      <w:r w:rsidRPr="00DA2DDA">
        <w:rPr>
          <w:rFonts w:ascii="Sylfaen" w:hAnsi="Sylfaen" w:cs="AcadNusx"/>
          <w:lang w:val="it-IT"/>
        </w:rPr>
        <w:t xml:space="preserve"> </w:t>
      </w:r>
      <w:r w:rsidRPr="00DA2DDA">
        <w:rPr>
          <w:rFonts w:ascii="Sylfaen" w:hAnsi="Sylfaen" w:cs="Sylfaen"/>
          <w:lang w:val="it-IT"/>
        </w:rPr>
        <w:t>დარგობრივ</w:t>
      </w:r>
      <w:r w:rsidRPr="00DA2DDA">
        <w:rPr>
          <w:rFonts w:ascii="Sylfaen" w:hAnsi="Sylfaen" w:cs="AcadNusx"/>
          <w:lang w:val="it-IT"/>
        </w:rPr>
        <w:t xml:space="preserve"> </w:t>
      </w:r>
      <w:r w:rsidRPr="00DA2DDA">
        <w:rPr>
          <w:rFonts w:ascii="Sylfaen" w:hAnsi="Sylfaen" w:cs="Sylfaen"/>
          <w:lang w:val="it-IT"/>
        </w:rPr>
        <w:t>სტრუქტურაში</w:t>
      </w:r>
      <w:r w:rsidRPr="00DA2DDA">
        <w:rPr>
          <w:rFonts w:ascii="Sylfaen" w:hAnsi="Sylfaen" w:cs="AcadNusx"/>
          <w:lang w:val="it-IT"/>
        </w:rPr>
        <w:t xml:space="preserve"> </w:t>
      </w:r>
      <w:r w:rsidRPr="00DA2DDA">
        <w:rPr>
          <w:rFonts w:ascii="Sylfaen" w:hAnsi="Sylfaen" w:cs="Sylfaen"/>
          <w:lang w:val="it-IT"/>
        </w:rPr>
        <w:t>ყველაზე</w:t>
      </w:r>
      <w:r w:rsidRPr="00DA2DDA">
        <w:rPr>
          <w:rFonts w:ascii="Sylfaen" w:hAnsi="Sylfaen" w:cs="AcadNusx"/>
          <w:lang w:val="it-IT"/>
        </w:rPr>
        <w:t xml:space="preserve"> </w:t>
      </w:r>
      <w:r w:rsidRPr="00DA2DDA">
        <w:rPr>
          <w:rFonts w:ascii="Sylfaen" w:hAnsi="Sylfaen" w:cs="Sylfaen"/>
          <w:lang w:val="it-IT"/>
        </w:rPr>
        <w:t>დიდი</w:t>
      </w:r>
      <w:r w:rsidRPr="00DA2DDA">
        <w:rPr>
          <w:rFonts w:ascii="Sylfaen" w:hAnsi="Sylfaen" w:cs="AcadNusx"/>
          <w:lang w:val="it-IT"/>
        </w:rPr>
        <w:t xml:space="preserve"> </w:t>
      </w:r>
      <w:r w:rsidRPr="00DA2DDA">
        <w:rPr>
          <w:rFonts w:ascii="Sylfaen" w:hAnsi="Sylfaen" w:cs="Sylfaen"/>
          <w:lang w:val="it-IT"/>
        </w:rPr>
        <w:t>წილით</w:t>
      </w:r>
      <w:r w:rsidRPr="00DA2DDA">
        <w:rPr>
          <w:rFonts w:ascii="Sylfaen" w:hAnsi="Sylfaen" w:cs="AcadNusx"/>
          <w:lang w:val="it-IT"/>
        </w:rPr>
        <w:t xml:space="preserve"> </w:t>
      </w:r>
      <w:r w:rsidRPr="00DA2DDA">
        <w:rPr>
          <w:rFonts w:ascii="Sylfaen" w:hAnsi="Sylfaen" w:cs="Sylfaen"/>
          <w:lang w:val="it-IT"/>
        </w:rPr>
        <w:t>გამოირჩევა</w:t>
      </w:r>
      <w:r>
        <w:rPr>
          <w:rFonts w:ascii="Sylfaen" w:hAnsi="Sylfaen" w:cs="AcadNusx"/>
          <w:lang w:val="it-IT"/>
        </w:rPr>
        <w:t xml:space="preserve"> </w:t>
      </w:r>
      <w:r>
        <w:rPr>
          <w:rFonts w:ascii="Sylfaen" w:hAnsi="Sylfaen" w:cs="AcadNusx"/>
          <w:lang w:val="ka-GE"/>
        </w:rPr>
        <w:t>მრეწველობა  (17,1 პროცენტი)  და ვაჭრობა</w:t>
      </w:r>
      <w:r>
        <w:rPr>
          <w:rFonts w:ascii="Sylfaen" w:hAnsi="Sylfaen" w:cs="AcadNusx"/>
        </w:rPr>
        <w:t xml:space="preserve"> </w:t>
      </w:r>
      <w:r w:rsidRPr="00DA2DDA">
        <w:rPr>
          <w:rFonts w:ascii="Sylfaen" w:hAnsi="Sylfaen" w:cs="AcadNusx"/>
          <w:lang w:val="it-IT"/>
        </w:rPr>
        <w:t>(1</w:t>
      </w:r>
      <w:r>
        <w:rPr>
          <w:rFonts w:ascii="Sylfaen" w:hAnsi="Sylfaen" w:cs="AcadNusx"/>
          <w:lang w:val="ka-GE"/>
        </w:rPr>
        <w:t>6</w:t>
      </w:r>
      <w:r w:rsidRPr="00DA2DDA">
        <w:rPr>
          <w:rFonts w:ascii="Sylfaen" w:hAnsi="Sylfaen" w:cs="AcadNusx"/>
          <w:lang w:val="it-IT"/>
        </w:rPr>
        <w:t>,</w:t>
      </w:r>
      <w:r>
        <w:rPr>
          <w:rFonts w:ascii="Sylfaen" w:hAnsi="Sylfaen" w:cs="AcadNusx"/>
          <w:lang w:val="ka-GE"/>
        </w:rPr>
        <w:t>3</w:t>
      </w:r>
      <w:r w:rsidRPr="00DA2DDA">
        <w:rPr>
          <w:rFonts w:ascii="Sylfaen" w:hAnsi="Sylfaen" w:cs="AcadNusx"/>
          <w:lang w:val="it-IT"/>
        </w:rPr>
        <w:t xml:space="preserve"> </w:t>
      </w:r>
      <w:r w:rsidRPr="00DA2DDA">
        <w:rPr>
          <w:rFonts w:ascii="Sylfaen" w:hAnsi="Sylfaen" w:cs="Sylfaen"/>
          <w:lang w:val="it-IT"/>
        </w:rPr>
        <w:t>პროცენტი</w:t>
      </w:r>
      <w:r w:rsidRPr="00DA2DDA">
        <w:rPr>
          <w:rFonts w:ascii="Sylfaen" w:hAnsi="Sylfaen" w:cs="AcadNusx"/>
          <w:lang w:val="it-IT"/>
        </w:rPr>
        <w:t>)</w:t>
      </w:r>
      <w:r>
        <w:rPr>
          <w:rFonts w:ascii="Sylfaen" w:hAnsi="Sylfaen" w:cs="AcadNusx"/>
          <w:lang w:val="ka-GE"/>
        </w:rPr>
        <w:t xml:space="preserve">. </w:t>
      </w:r>
      <w:r w:rsidRPr="00DA2DDA">
        <w:rPr>
          <w:rFonts w:ascii="Sylfaen" w:hAnsi="Sylfaen" w:cs="Sylfaen"/>
          <w:lang w:val="it-IT"/>
        </w:rPr>
        <w:t>შემდგომ</w:t>
      </w:r>
      <w:r w:rsidRPr="00DA2DDA">
        <w:rPr>
          <w:rFonts w:ascii="Sylfaen" w:hAnsi="Sylfaen" w:cs="AcadNusx"/>
          <w:lang w:val="it-IT"/>
        </w:rPr>
        <w:t xml:space="preserve"> </w:t>
      </w:r>
      <w:r w:rsidRPr="00DA2DDA">
        <w:rPr>
          <w:rFonts w:ascii="Sylfaen" w:hAnsi="Sylfaen" w:cs="Sylfaen"/>
          <w:lang w:val="it-IT"/>
        </w:rPr>
        <w:t>პოზიციებს</w:t>
      </w:r>
      <w:r w:rsidRPr="00DA2DDA">
        <w:rPr>
          <w:rFonts w:ascii="Sylfaen" w:hAnsi="Sylfaen" w:cs="AcadNusx"/>
          <w:lang w:val="it-IT"/>
        </w:rPr>
        <w:t xml:space="preserve"> </w:t>
      </w:r>
      <w:r w:rsidRPr="00DA2DDA">
        <w:rPr>
          <w:rFonts w:ascii="Sylfaen" w:hAnsi="Sylfaen" w:cs="Sylfaen"/>
          <w:lang w:val="it-IT"/>
        </w:rPr>
        <w:t>იკავებს</w:t>
      </w:r>
      <w:r w:rsidRPr="00DA2DDA">
        <w:rPr>
          <w:rFonts w:ascii="Sylfaen" w:hAnsi="Sylfaen" w:cs="AcadNusx"/>
          <w:lang w:val="it-IT"/>
        </w:rPr>
        <w:t xml:space="preserve"> </w:t>
      </w:r>
      <w:r w:rsidRPr="00DA2DDA">
        <w:rPr>
          <w:rFonts w:ascii="Sylfaen" w:hAnsi="Sylfaen" w:cs="Sylfaen"/>
          <w:lang w:val="it-IT"/>
        </w:rPr>
        <w:t>ტრანსპორტი</w:t>
      </w:r>
      <w:r w:rsidRPr="00DA2DDA">
        <w:rPr>
          <w:rFonts w:ascii="Sylfaen" w:hAnsi="Sylfaen" w:cs="AcadNusx"/>
          <w:lang w:val="it-IT"/>
        </w:rPr>
        <w:t xml:space="preserve"> </w:t>
      </w:r>
      <w:r w:rsidRPr="00DA2DDA">
        <w:rPr>
          <w:rFonts w:ascii="Sylfaen" w:hAnsi="Sylfaen" w:cs="Sylfaen"/>
          <w:lang w:val="it-IT"/>
        </w:rPr>
        <w:t>და</w:t>
      </w:r>
      <w:r w:rsidRPr="00DA2DDA">
        <w:rPr>
          <w:rFonts w:ascii="Sylfaen" w:hAnsi="Sylfaen" w:cs="AcadNusx"/>
          <w:lang w:val="it-IT"/>
        </w:rPr>
        <w:t xml:space="preserve"> </w:t>
      </w:r>
      <w:r w:rsidRPr="00DA2DDA">
        <w:rPr>
          <w:rFonts w:ascii="Sylfaen" w:hAnsi="Sylfaen" w:cs="Sylfaen"/>
          <w:lang w:val="it-IT"/>
        </w:rPr>
        <w:t>კავშირგაბმულობა</w:t>
      </w:r>
      <w:r w:rsidRPr="00DA2DDA">
        <w:rPr>
          <w:rFonts w:ascii="Sylfaen" w:hAnsi="Sylfaen" w:cs="AcadNusx"/>
          <w:lang w:val="it-IT"/>
        </w:rPr>
        <w:t xml:space="preserve"> (</w:t>
      </w:r>
      <w:r>
        <w:rPr>
          <w:rFonts w:ascii="Sylfaen" w:hAnsi="Sylfaen" w:cs="AcadNusx"/>
          <w:lang w:val="ka-GE"/>
        </w:rPr>
        <w:t>10</w:t>
      </w:r>
      <w:r w:rsidRPr="00DA2DDA">
        <w:rPr>
          <w:rFonts w:ascii="Sylfaen" w:hAnsi="Sylfaen" w:cs="AcadNusx"/>
          <w:lang w:val="it-IT"/>
        </w:rPr>
        <w:t>,</w:t>
      </w:r>
      <w:r>
        <w:rPr>
          <w:rFonts w:ascii="Sylfaen" w:hAnsi="Sylfaen" w:cs="AcadNusx"/>
          <w:lang w:val="ka-GE"/>
        </w:rPr>
        <w:t>1</w:t>
      </w:r>
      <w:r w:rsidRPr="00DA2DDA">
        <w:rPr>
          <w:rFonts w:ascii="Sylfaen" w:hAnsi="Sylfaen" w:cs="AcadNusx"/>
          <w:lang w:val="it-IT"/>
        </w:rPr>
        <w:t xml:space="preserve"> </w:t>
      </w:r>
      <w:r w:rsidRPr="00DA2DDA">
        <w:rPr>
          <w:rFonts w:ascii="Sylfaen" w:hAnsi="Sylfaen" w:cs="Sylfaen"/>
          <w:lang w:val="it-IT"/>
        </w:rPr>
        <w:t>პროცენტი</w:t>
      </w:r>
      <w:r w:rsidRPr="00DA2DDA">
        <w:rPr>
          <w:rFonts w:ascii="Sylfaen" w:hAnsi="Sylfaen" w:cs="AcadNusx"/>
          <w:lang w:val="it-IT"/>
        </w:rPr>
        <w:t>),</w:t>
      </w:r>
      <w:r>
        <w:rPr>
          <w:rFonts w:ascii="Sylfaen" w:hAnsi="Sylfaen" w:cs="AcadNusx"/>
          <w:lang w:val="ka-GE"/>
        </w:rPr>
        <w:t xml:space="preserve"> </w:t>
      </w:r>
      <w:r w:rsidRPr="00DA2DDA">
        <w:rPr>
          <w:rFonts w:ascii="Sylfaen" w:hAnsi="Sylfaen" w:cs="Sylfaen"/>
          <w:lang w:val="it-IT"/>
        </w:rPr>
        <w:t>სოფლის</w:t>
      </w:r>
      <w:r w:rsidRPr="00DA2DDA">
        <w:rPr>
          <w:rFonts w:ascii="Sylfaen" w:hAnsi="Sylfaen" w:cs="AcadNusx"/>
          <w:lang w:val="it-IT"/>
        </w:rPr>
        <w:t xml:space="preserve"> </w:t>
      </w:r>
      <w:r w:rsidRPr="00DA2DDA">
        <w:rPr>
          <w:rFonts w:ascii="Sylfaen" w:hAnsi="Sylfaen" w:cs="Sylfaen"/>
          <w:lang w:val="it-IT"/>
        </w:rPr>
        <w:t>მეურნეობა</w:t>
      </w:r>
      <w:r w:rsidRPr="00DA2DDA">
        <w:rPr>
          <w:rFonts w:ascii="Sylfaen" w:hAnsi="Sylfaen" w:cs="AcadNusx"/>
          <w:lang w:val="it-IT"/>
        </w:rPr>
        <w:t xml:space="preserve">, </w:t>
      </w:r>
      <w:r w:rsidRPr="00DA2DDA">
        <w:rPr>
          <w:rFonts w:ascii="Sylfaen" w:hAnsi="Sylfaen" w:cs="Sylfaen"/>
          <w:lang w:val="it-IT"/>
        </w:rPr>
        <w:t>მეთევზეობა</w:t>
      </w:r>
      <w:r w:rsidRPr="00DA2DDA">
        <w:rPr>
          <w:rFonts w:ascii="Sylfaen" w:hAnsi="Sylfaen" w:cs="AcadNusx"/>
          <w:lang w:val="it-IT"/>
        </w:rPr>
        <w:t xml:space="preserve"> (</w:t>
      </w:r>
      <w:r>
        <w:rPr>
          <w:rFonts w:ascii="Sylfaen" w:hAnsi="Sylfaen" w:cs="AcadNusx"/>
          <w:lang w:val="ka-GE"/>
        </w:rPr>
        <w:t>9</w:t>
      </w:r>
      <w:r w:rsidRPr="00DA2DDA">
        <w:rPr>
          <w:rFonts w:ascii="Sylfaen" w:hAnsi="Sylfaen" w:cs="AcadNusx"/>
          <w:lang w:val="it-IT"/>
        </w:rPr>
        <w:t>,</w:t>
      </w:r>
      <w:r>
        <w:rPr>
          <w:rFonts w:ascii="Sylfaen" w:hAnsi="Sylfaen" w:cs="AcadNusx"/>
          <w:lang w:val="ka-GE"/>
        </w:rPr>
        <w:t>3</w:t>
      </w:r>
      <w:r w:rsidRPr="00DA2DDA">
        <w:rPr>
          <w:rFonts w:ascii="Sylfaen" w:hAnsi="Sylfaen" w:cs="AcadNusx"/>
          <w:lang w:val="it-IT"/>
        </w:rPr>
        <w:t xml:space="preserve"> </w:t>
      </w:r>
      <w:r w:rsidRPr="00DA2DDA">
        <w:rPr>
          <w:rFonts w:ascii="Sylfaen" w:hAnsi="Sylfaen" w:cs="Sylfaen"/>
          <w:lang w:val="it-IT"/>
        </w:rPr>
        <w:t>პროცენტი</w:t>
      </w:r>
      <w:r w:rsidRPr="00DA2DDA">
        <w:rPr>
          <w:rFonts w:ascii="Sylfaen" w:hAnsi="Sylfaen" w:cs="AcadNusx"/>
          <w:lang w:val="it-IT"/>
        </w:rPr>
        <w:t>)</w:t>
      </w:r>
      <w:r>
        <w:rPr>
          <w:rFonts w:ascii="Sylfaen" w:hAnsi="Sylfaen" w:cs="AcadNusx"/>
          <w:lang w:val="ka-GE"/>
        </w:rPr>
        <w:t xml:space="preserve">, </w:t>
      </w:r>
      <w:r w:rsidRPr="00DA2DDA">
        <w:rPr>
          <w:rFonts w:ascii="Sylfaen" w:hAnsi="Sylfaen" w:cs="Sylfaen"/>
          <w:lang w:val="it-IT"/>
        </w:rPr>
        <w:t>სახელმწიფო</w:t>
      </w:r>
      <w:r w:rsidRPr="00DA2DDA">
        <w:rPr>
          <w:rFonts w:ascii="Sylfaen" w:hAnsi="Sylfaen" w:cs="AcadNusx"/>
          <w:lang w:val="it-IT"/>
        </w:rPr>
        <w:t xml:space="preserve"> </w:t>
      </w:r>
      <w:r w:rsidRPr="00DA2DDA">
        <w:rPr>
          <w:rFonts w:ascii="Sylfaen" w:hAnsi="Sylfaen" w:cs="Sylfaen"/>
          <w:lang w:val="it-IT"/>
        </w:rPr>
        <w:t>მმართველობა</w:t>
      </w:r>
      <w:r w:rsidRPr="00DA2DDA">
        <w:rPr>
          <w:rFonts w:ascii="Sylfaen" w:hAnsi="Sylfaen" w:cs="AcadNusx"/>
          <w:lang w:val="it-IT"/>
        </w:rPr>
        <w:t xml:space="preserve"> (</w:t>
      </w:r>
      <w:r>
        <w:rPr>
          <w:rFonts w:ascii="Sylfaen" w:hAnsi="Sylfaen" w:cs="AcadNusx"/>
          <w:lang w:val="ka-GE"/>
        </w:rPr>
        <w:t>9,1</w:t>
      </w:r>
      <w:r w:rsidRPr="00DA2DDA">
        <w:rPr>
          <w:rFonts w:ascii="Sylfaen" w:hAnsi="Sylfaen" w:cs="AcadNusx"/>
          <w:lang w:val="it-IT"/>
        </w:rPr>
        <w:t xml:space="preserve"> </w:t>
      </w:r>
      <w:r w:rsidRPr="00DA2DDA">
        <w:rPr>
          <w:rFonts w:ascii="Sylfaen" w:hAnsi="Sylfaen" w:cs="Sylfaen"/>
          <w:lang w:val="it-IT"/>
        </w:rPr>
        <w:t>პროცენტი</w:t>
      </w:r>
      <w:r>
        <w:rPr>
          <w:rFonts w:ascii="Sylfaen" w:hAnsi="Sylfaen" w:cs="AcadNusx"/>
          <w:lang w:val="it-IT"/>
        </w:rPr>
        <w:t>),</w:t>
      </w:r>
      <w:r>
        <w:rPr>
          <w:rFonts w:ascii="Sylfaen" w:hAnsi="Sylfaen" w:cs="AcadNusx"/>
          <w:lang w:val="ka-GE"/>
        </w:rPr>
        <w:t xml:space="preserve"> მშენებლობა</w:t>
      </w:r>
      <w:r>
        <w:rPr>
          <w:rFonts w:ascii="Sylfaen" w:hAnsi="Sylfaen" w:cs="AcadNusx"/>
          <w:lang w:val="it-IT"/>
        </w:rPr>
        <w:t xml:space="preserve"> (</w:t>
      </w:r>
      <w:r>
        <w:rPr>
          <w:rFonts w:ascii="Sylfaen" w:hAnsi="Sylfaen" w:cs="AcadNusx"/>
        </w:rPr>
        <w:t>8</w:t>
      </w:r>
      <w:r w:rsidRPr="00DA2DDA">
        <w:rPr>
          <w:rFonts w:ascii="Sylfaen" w:hAnsi="Sylfaen" w:cs="AcadNusx"/>
          <w:lang w:val="it-IT"/>
        </w:rPr>
        <w:t>,</w:t>
      </w:r>
      <w:r>
        <w:rPr>
          <w:rFonts w:ascii="Sylfaen" w:hAnsi="Sylfaen" w:cs="AcadNusx"/>
          <w:lang w:val="ka-GE"/>
        </w:rPr>
        <w:t>3</w:t>
      </w:r>
      <w:r w:rsidRPr="00DA2DDA">
        <w:rPr>
          <w:rFonts w:ascii="Sylfaen" w:hAnsi="Sylfaen"/>
          <w:lang w:val="it-IT"/>
        </w:rPr>
        <w:t xml:space="preserve"> </w:t>
      </w:r>
      <w:r w:rsidRPr="00DA2DDA">
        <w:rPr>
          <w:rFonts w:ascii="Sylfaen" w:hAnsi="Sylfaen" w:cs="Sylfaen"/>
          <w:lang w:val="it-IT"/>
        </w:rPr>
        <w:t>პროცენტი</w:t>
      </w:r>
      <w:r>
        <w:rPr>
          <w:rFonts w:ascii="Sylfaen" w:hAnsi="Sylfaen" w:cs="AcadNusx"/>
          <w:lang w:val="it-IT"/>
        </w:rPr>
        <w:t>),</w:t>
      </w:r>
      <w:r>
        <w:rPr>
          <w:rFonts w:ascii="Sylfaen" w:hAnsi="Sylfaen" w:cs="AcadNusx"/>
          <w:lang w:val="ka-GE"/>
        </w:rPr>
        <w:t xml:space="preserve"> ოპერაციები უძრავი ქონებით, იჯარა და მომხმარებლისათვის მომსახურების გაწევა (6,6 პროცენტი), ჯანმრთელობის დაცვა და სოციალური დახმარება </w:t>
      </w:r>
      <w:r>
        <w:rPr>
          <w:rFonts w:ascii="Sylfaen" w:hAnsi="Sylfaen" w:cs="AcadNusx"/>
          <w:lang w:val="it-IT"/>
        </w:rPr>
        <w:t>(</w:t>
      </w:r>
      <w:r>
        <w:rPr>
          <w:rFonts w:ascii="Sylfaen" w:hAnsi="Sylfaen" w:cs="AcadNusx"/>
          <w:lang w:val="ka-GE"/>
        </w:rPr>
        <w:t>5</w:t>
      </w:r>
      <w:r w:rsidRPr="00DA2DDA">
        <w:rPr>
          <w:rFonts w:ascii="Sylfaen" w:hAnsi="Sylfaen" w:cs="AcadNusx"/>
          <w:lang w:val="it-IT"/>
        </w:rPr>
        <w:t>,</w:t>
      </w:r>
      <w:r>
        <w:rPr>
          <w:rFonts w:ascii="Sylfaen" w:hAnsi="Sylfaen" w:cs="AcadNusx"/>
          <w:lang w:val="ka-GE"/>
        </w:rPr>
        <w:t>8</w:t>
      </w:r>
      <w:r w:rsidRPr="00DA2DDA">
        <w:rPr>
          <w:rFonts w:ascii="Sylfaen" w:hAnsi="Sylfaen"/>
          <w:lang w:val="it-IT"/>
        </w:rPr>
        <w:t xml:space="preserve"> </w:t>
      </w:r>
      <w:r w:rsidRPr="00DA2DDA">
        <w:rPr>
          <w:rFonts w:ascii="Sylfaen" w:hAnsi="Sylfaen" w:cs="Sylfaen"/>
          <w:lang w:val="it-IT"/>
        </w:rPr>
        <w:t>პროცენტი</w:t>
      </w:r>
      <w:r>
        <w:rPr>
          <w:rFonts w:ascii="Sylfaen" w:hAnsi="Sylfaen" w:cs="AcadNusx"/>
          <w:lang w:val="it-IT"/>
        </w:rPr>
        <w:t>)</w:t>
      </w:r>
      <w:r w:rsidRPr="00DA2DDA">
        <w:rPr>
          <w:rFonts w:ascii="Sylfaen" w:hAnsi="Sylfaen" w:cs="AcadNusx"/>
          <w:lang w:val="it-IT"/>
        </w:rPr>
        <w:t>.</w:t>
      </w:r>
    </w:p>
    <w:p w:rsidR="000473DB" w:rsidRPr="00AA041B" w:rsidRDefault="000473DB" w:rsidP="007F668F">
      <w:pPr>
        <w:spacing w:line="312" w:lineRule="auto"/>
        <w:rPr>
          <w:rFonts w:ascii="Sylfaen" w:eastAsia="Times New Roman" w:hAnsi="Sylfaen" w:cs="Arial"/>
          <w:b/>
          <w:color w:val="FF0000"/>
          <w:sz w:val="24"/>
          <w:szCs w:val="24"/>
          <w:lang w:val="ka-GE" w:eastAsia="ru-RU"/>
        </w:rPr>
      </w:pPr>
    </w:p>
    <w:p w:rsidR="000473DB" w:rsidRPr="00D41AE9" w:rsidRDefault="00484D50" w:rsidP="007F668F">
      <w:pPr>
        <w:spacing w:line="312" w:lineRule="auto"/>
        <w:rPr>
          <w:rFonts w:ascii="Sylfaen" w:hAnsi="Sylfaen"/>
          <w:color w:val="FF0000"/>
          <w:sz w:val="20"/>
          <w:szCs w:val="20"/>
        </w:rPr>
      </w:pPr>
      <w:r w:rsidRPr="00484D50">
        <w:rPr>
          <w:rFonts w:ascii="Sylfaen" w:hAnsi="Sylfaen"/>
          <w:noProof/>
          <w:color w:val="FF0000"/>
          <w:sz w:val="20"/>
          <w:szCs w:val="20"/>
        </w:rPr>
        <w:lastRenderedPageBreak/>
        <w:drawing>
          <wp:inline distT="0" distB="0" distL="0" distR="0">
            <wp:extent cx="6035040" cy="4627659"/>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73DB" w:rsidRPr="00D41AE9" w:rsidRDefault="000473DB" w:rsidP="007F668F">
      <w:pPr>
        <w:spacing w:before="80" w:line="312" w:lineRule="auto"/>
        <w:jc w:val="both"/>
        <w:rPr>
          <w:rFonts w:ascii="AcadNusx" w:hAnsi="AcadNusx"/>
          <w:sz w:val="20"/>
          <w:szCs w:val="20"/>
        </w:rPr>
      </w:pPr>
      <w:r w:rsidRPr="00D41AE9">
        <w:rPr>
          <w:sz w:val="20"/>
          <w:szCs w:val="20"/>
        </w:rPr>
        <w:t xml:space="preserve">* </w:t>
      </w:r>
      <w:r w:rsidRPr="00D41AE9">
        <w:rPr>
          <w:rFonts w:ascii="Sylfaen" w:hAnsi="Sylfaen" w:cs="Sylfaen"/>
          <w:sz w:val="20"/>
          <w:szCs w:val="20"/>
        </w:rPr>
        <w:t>წინასწარი</w:t>
      </w:r>
      <w:r w:rsidRPr="00D41AE9">
        <w:rPr>
          <w:sz w:val="20"/>
          <w:szCs w:val="20"/>
        </w:rPr>
        <w:t xml:space="preserve"> </w:t>
      </w:r>
      <w:r w:rsidRPr="00D41AE9">
        <w:rPr>
          <w:rFonts w:ascii="Sylfaen" w:hAnsi="Sylfaen" w:cs="Sylfaen"/>
          <w:sz w:val="20"/>
          <w:szCs w:val="20"/>
        </w:rPr>
        <w:t>მონაცემები</w:t>
      </w:r>
    </w:p>
    <w:p w:rsidR="00484D50" w:rsidRPr="00AD54AA" w:rsidRDefault="00484D50" w:rsidP="007F668F">
      <w:pPr>
        <w:spacing w:line="312" w:lineRule="auto"/>
        <w:ind w:left="-567"/>
        <w:jc w:val="both"/>
        <w:rPr>
          <w:rFonts w:ascii="Sylfaen" w:hAnsi="Sylfaen" w:cs="AcadNusx"/>
          <w:lang w:val="ka-GE"/>
        </w:rPr>
      </w:pPr>
      <w:r w:rsidRPr="00B67B5D">
        <w:rPr>
          <w:rFonts w:ascii="Sylfaen" w:hAnsi="Sylfaen" w:cs="Sylfaen"/>
          <w:lang w:val="it-IT"/>
        </w:rPr>
        <w:t>ზრდა</w:t>
      </w:r>
      <w:r w:rsidRPr="00B67B5D">
        <w:rPr>
          <w:rFonts w:ascii="Sylfaen" w:hAnsi="Sylfaen" w:cs="AcadNusx"/>
          <w:lang w:val="it-IT"/>
        </w:rPr>
        <w:t xml:space="preserve"> </w:t>
      </w:r>
      <w:r w:rsidRPr="00B67B5D">
        <w:rPr>
          <w:rFonts w:ascii="Sylfaen" w:hAnsi="Sylfaen" w:cs="Sylfaen"/>
          <w:lang w:val="it-IT"/>
        </w:rPr>
        <w:t>დაფიქსირდა</w:t>
      </w:r>
      <w:r w:rsidRPr="00B67B5D">
        <w:rPr>
          <w:rFonts w:ascii="Sylfaen" w:hAnsi="Sylfaen" w:cs="AcadNusx"/>
          <w:lang w:val="it-IT"/>
        </w:rPr>
        <w:t xml:space="preserve"> </w:t>
      </w:r>
      <w:r w:rsidRPr="00B67B5D">
        <w:rPr>
          <w:rFonts w:ascii="Sylfaen" w:hAnsi="Sylfaen" w:cs="Sylfaen"/>
          <w:lang w:val="it-IT"/>
        </w:rPr>
        <w:t>შემდეგ</w:t>
      </w:r>
      <w:r w:rsidRPr="00B67B5D">
        <w:rPr>
          <w:rFonts w:ascii="Sylfaen" w:hAnsi="Sylfaen" w:cs="AcadNusx"/>
          <w:lang w:val="it-IT"/>
        </w:rPr>
        <w:t xml:space="preserve"> </w:t>
      </w:r>
      <w:r w:rsidRPr="00B67B5D">
        <w:rPr>
          <w:rFonts w:ascii="Sylfaen" w:hAnsi="Sylfaen" w:cs="Sylfaen"/>
          <w:lang w:val="it-IT"/>
        </w:rPr>
        <w:t>სექტორებში</w:t>
      </w:r>
      <w:r w:rsidRPr="00B67B5D">
        <w:rPr>
          <w:rFonts w:ascii="Sylfaen" w:hAnsi="Sylfaen" w:cs="AcadNusx"/>
          <w:lang w:val="it-IT"/>
        </w:rPr>
        <w:t xml:space="preserve">: </w:t>
      </w:r>
      <w:r w:rsidRPr="007C1BA6">
        <w:rPr>
          <w:rFonts w:ascii="Sylfaen" w:hAnsi="Sylfaen" w:cs="Sylfaen"/>
          <w:lang w:val="it-IT"/>
        </w:rPr>
        <w:t>სასტუმროები და რესტორნები (</w:t>
      </w:r>
      <w:r>
        <w:rPr>
          <w:rFonts w:ascii="Sylfaen" w:hAnsi="Sylfaen" w:cs="Sylfaen"/>
          <w:lang w:val="it-IT"/>
        </w:rPr>
        <w:t>9</w:t>
      </w:r>
      <w:r w:rsidRPr="007C1BA6">
        <w:rPr>
          <w:rFonts w:ascii="Sylfaen" w:hAnsi="Sylfaen" w:cs="Sylfaen"/>
          <w:lang w:val="it-IT"/>
        </w:rPr>
        <w:t>,</w:t>
      </w:r>
      <w:r>
        <w:rPr>
          <w:rFonts w:ascii="Sylfaen" w:hAnsi="Sylfaen" w:cs="Sylfaen"/>
          <w:lang w:val="it-IT"/>
        </w:rPr>
        <w:t>9</w:t>
      </w:r>
      <w:r w:rsidRPr="007C1BA6">
        <w:rPr>
          <w:rFonts w:ascii="Sylfaen" w:hAnsi="Sylfaen" w:cs="Sylfaen"/>
          <w:lang w:val="it-IT"/>
        </w:rPr>
        <w:t xml:space="preserve"> პროცენტი)</w:t>
      </w:r>
      <w:r>
        <w:rPr>
          <w:rFonts w:ascii="Sylfaen" w:hAnsi="Sylfaen" w:cs="Sylfaen"/>
          <w:lang w:val="ka-GE"/>
        </w:rPr>
        <w:t>,</w:t>
      </w:r>
      <w:r>
        <w:rPr>
          <w:rFonts w:ascii="Sylfaen" w:hAnsi="Sylfaen" w:cs="Sylfaen"/>
        </w:rPr>
        <w:t xml:space="preserve"> </w:t>
      </w:r>
      <w:r w:rsidRPr="00B67B5D">
        <w:rPr>
          <w:rFonts w:ascii="Sylfaen" w:hAnsi="Sylfaen" w:cs="Sylfaen"/>
          <w:lang w:val="it-IT"/>
        </w:rPr>
        <w:t>საფინანსო</w:t>
      </w:r>
      <w:r w:rsidRPr="00B67B5D">
        <w:rPr>
          <w:rFonts w:ascii="Sylfaen" w:hAnsi="Sylfaen" w:cs="AcadNusx"/>
          <w:lang w:val="it-IT"/>
        </w:rPr>
        <w:t xml:space="preserve"> </w:t>
      </w:r>
      <w:r w:rsidRPr="00B67B5D">
        <w:rPr>
          <w:rFonts w:ascii="Sylfaen" w:hAnsi="Sylfaen" w:cs="Sylfaen"/>
          <w:lang w:val="it-IT"/>
        </w:rPr>
        <w:t>საქმიანობა</w:t>
      </w:r>
      <w:r w:rsidRPr="00B67B5D">
        <w:rPr>
          <w:rFonts w:ascii="Sylfaen" w:hAnsi="Sylfaen" w:cs="AcadNusx"/>
          <w:lang w:val="it-IT"/>
        </w:rPr>
        <w:t xml:space="preserve"> (</w:t>
      </w:r>
      <w:r>
        <w:rPr>
          <w:rFonts w:ascii="Sylfaen" w:hAnsi="Sylfaen" w:cs="AcadNusx"/>
          <w:lang w:val="ka-GE"/>
        </w:rPr>
        <w:t>9</w:t>
      </w:r>
      <w:r w:rsidRPr="00B67B5D">
        <w:rPr>
          <w:rFonts w:ascii="Sylfaen" w:hAnsi="Sylfaen" w:cs="AcadNusx"/>
        </w:rPr>
        <w:t>,</w:t>
      </w:r>
      <w:r>
        <w:rPr>
          <w:rFonts w:ascii="Sylfaen" w:hAnsi="Sylfaen" w:cs="AcadNusx"/>
        </w:rPr>
        <w:t>3</w:t>
      </w:r>
      <w:r w:rsidRPr="00B67B5D">
        <w:rPr>
          <w:rFonts w:ascii="Sylfaen" w:hAnsi="Sylfaen" w:cs="AcadNusx"/>
          <w:lang w:val="it-IT"/>
        </w:rPr>
        <w:t xml:space="preserve"> </w:t>
      </w:r>
      <w:r w:rsidRPr="00B67B5D">
        <w:rPr>
          <w:rFonts w:ascii="Sylfaen" w:hAnsi="Sylfaen" w:cs="Sylfaen"/>
          <w:lang w:val="it-IT"/>
        </w:rPr>
        <w:t>პროცენტი</w:t>
      </w:r>
      <w:r w:rsidRPr="00B67B5D">
        <w:rPr>
          <w:rFonts w:ascii="Sylfaen" w:hAnsi="Sylfaen" w:cs="AcadNusx"/>
          <w:lang w:val="it-IT"/>
        </w:rPr>
        <w:t>),</w:t>
      </w:r>
      <w:r>
        <w:rPr>
          <w:rFonts w:ascii="Sylfaen" w:hAnsi="Sylfaen" w:cs="AcadNusx"/>
          <w:lang w:val="it-IT"/>
        </w:rPr>
        <w:t xml:space="preserve"> </w:t>
      </w:r>
      <w:r>
        <w:rPr>
          <w:rFonts w:ascii="Sylfaen" w:hAnsi="Sylfaen" w:cs="AcadNusx"/>
          <w:lang w:val="ka-GE"/>
        </w:rPr>
        <w:t xml:space="preserve">მშენებლობა (8,1 პროცენტი), სამთომოპოვებითი მრეწველობა (7,6 პროცენტი), </w:t>
      </w:r>
      <w:r w:rsidRPr="00B67B5D">
        <w:rPr>
          <w:rFonts w:ascii="Sylfaen" w:hAnsi="Sylfaen" w:cs="Sylfaen"/>
          <w:lang w:val="it-IT"/>
        </w:rPr>
        <w:t>ოპერაციები</w:t>
      </w:r>
      <w:r w:rsidRPr="007C1BA6">
        <w:rPr>
          <w:rFonts w:ascii="Sylfaen" w:hAnsi="Sylfaen" w:cs="Sylfaen"/>
          <w:lang w:val="it-IT"/>
        </w:rPr>
        <w:t xml:space="preserve"> </w:t>
      </w:r>
      <w:r w:rsidRPr="00B67B5D">
        <w:rPr>
          <w:rFonts w:ascii="Sylfaen" w:hAnsi="Sylfaen" w:cs="Sylfaen"/>
          <w:lang w:val="it-IT"/>
        </w:rPr>
        <w:t>უძრავი</w:t>
      </w:r>
      <w:r w:rsidRPr="007C1BA6">
        <w:rPr>
          <w:rFonts w:ascii="Sylfaen" w:hAnsi="Sylfaen" w:cs="Sylfaen"/>
          <w:lang w:val="it-IT"/>
        </w:rPr>
        <w:t xml:space="preserve"> </w:t>
      </w:r>
      <w:r w:rsidRPr="00B67B5D">
        <w:rPr>
          <w:rFonts w:ascii="Sylfaen" w:hAnsi="Sylfaen" w:cs="Sylfaen"/>
          <w:lang w:val="it-IT"/>
        </w:rPr>
        <w:t>ქონებით, იჯარა და მომხმა</w:t>
      </w:r>
      <w:r>
        <w:rPr>
          <w:rFonts w:ascii="Sylfaen" w:hAnsi="Sylfaen" w:cs="Sylfaen"/>
          <w:lang w:val="it-IT"/>
        </w:rPr>
        <w:t>რებლისათვის მომსახურების გაწევა</w:t>
      </w:r>
      <w:r>
        <w:rPr>
          <w:rFonts w:ascii="Sylfaen" w:hAnsi="Sylfaen" w:cs="Sylfaen"/>
          <w:lang w:val="ka-GE"/>
        </w:rPr>
        <w:t xml:space="preserve"> </w:t>
      </w:r>
      <w:r w:rsidRPr="00B67B5D">
        <w:rPr>
          <w:rFonts w:ascii="Sylfaen" w:hAnsi="Sylfaen" w:cs="Sylfaen"/>
          <w:lang w:val="it-IT"/>
        </w:rPr>
        <w:t>(</w:t>
      </w:r>
      <w:r>
        <w:rPr>
          <w:rFonts w:ascii="Sylfaen" w:hAnsi="Sylfaen" w:cs="Sylfaen"/>
          <w:lang w:val="ka-GE"/>
        </w:rPr>
        <w:t>6,7</w:t>
      </w:r>
      <w:r w:rsidRPr="00B67B5D">
        <w:rPr>
          <w:rFonts w:ascii="Sylfaen" w:hAnsi="Sylfaen" w:cs="Sylfaen"/>
          <w:lang w:val="it-IT"/>
        </w:rPr>
        <w:t xml:space="preserve"> პროცენტი)</w:t>
      </w:r>
      <w:r>
        <w:rPr>
          <w:rFonts w:ascii="Sylfaen" w:hAnsi="Sylfaen" w:cs="Sylfaen"/>
          <w:lang w:val="ka-GE"/>
        </w:rPr>
        <w:t xml:space="preserve">, </w:t>
      </w:r>
      <w:r w:rsidRPr="007C1BA6">
        <w:rPr>
          <w:rFonts w:ascii="Sylfaen" w:hAnsi="Sylfaen" w:cs="Sylfaen"/>
          <w:lang w:val="it-IT"/>
        </w:rPr>
        <w:t>დამამუშავებელი მრეწველობ</w:t>
      </w:r>
      <w:r>
        <w:rPr>
          <w:rFonts w:ascii="Sylfaen" w:hAnsi="Sylfaen" w:cs="Sylfaen"/>
          <w:lang w:val="ka-GE"/>
        </w:rPr>
        <w:t xml:space="preserve">ა </w:t>
      </w:r>
      <w:r w:rsidRPr="00B67B5D">
        <w:rPr>
          <w:rFonts w:ascii="Sylfaen" w:hAnsi="Sylfaen" w:cs="AcadNusx"/>
          <w:lang w:val="it-IT"/>
        </w:rPr>
        <w:t>(</w:t>
      </w:r>
      <w:r>
        <w:rPr>
          <w:rFonts w:ascii="Sylfaen" w:hAnsi="Sylfaen" w:cs="AcadNusx"/>
          <w:lang w:val="ka-GE"/>
        </w:rPr>
        <w:t>4</w:t>
      </w:r>
      <w:r w:rsidRPr="002D038D">
        <w:rPr>
          <w:rFonts w:ascii="Sylfaen" w:hAnsi="Sylfaen" w:cs="AcadNusx"/>
          <w:lang w:val="ka-GE"/>
        </w:rPr>
        <w:t>,</w:t>
      </w:r>
      <w:r>
        <w:rPr>
          <w:rFonts w:ascii="Sylfaen" w:hAnsi="Sylfaen" w:cs="AcadNusx"/>
          <w:lang w:val="ka-GE"/>
        </w:rPr>
        <w:t>8</w:t>
      </w:r>
      <w:r w:rsidRPr="002D038D">
        <w:rPr>
          <w:rFonts w:ascii="Sylfaen" w:hAnsi="Sylfaen" w:cs="AcadNusx"/>
          <w:lang w:val="ka-GE"/>
        </w:rPr>
        <w:t xml:space="preserve"> </w:t>
      </w:r>
      <w:r w:rsidRPr="00B67B5D">
        <w:rPr>
          <w:rFonts w:ascii="Sylfaen" w:hAnsi="Sylfaen" w:cs="Sylfaen"/>
          <w:lang w:val="it-IT"/>
        </w:rPr>
        <w:t>პროცენტი</w:t>
      </w:r>
      <w:r w:rsidRPr="00B67B5D">
        <w:rPr>
          <w:rFonts w:ascii="Sylfaen" w:hAnsi="Sylfaen" w:cs="AcadNusx"/>
          <w:lang w:val="it-IT"/>
        </w:rPr>
        <w:t>)</w:t>
      </w:r>
      <w:r>
        <w:rPr>
          <w:rFonts w:ascii="Sylfaen" w:hAnsi="Sylfaen" w:cs="AcadNusx"/>
          <w:lang w:val="ka-GE"/>
        </w:rPr>
        <w:t>.</w:t>
      </w:r>
    </w:p>
    <w:p w:rsidR="00484D50" w:rsidRDefault="00484D50" w:rsidP="007F668F">
      <w:pPr>
        <w:spacing w:line="312" w:lineRule="auto"/>
        <w:ind w:left="-567"/>
        <w:jc w:val="both"/>
        <w:rPr>
          <w:rFonts w:ascii="Sylfaen" w:hAnsi="Sylfaen" w:cs="AcadNusx"/>
        </w:rPr>
      </w:pPr>
      <w:r w:rsidRPr="00B67B5D">
        <w:rPr>
          <w:rFonts w:ascii="Sylfaen" w:hAnsi="Sylfaen" w:cs="Sylfaen"/>
          <w:lang w:val="it-IT"/>
        </w:rPr>
        <w:t>კლება</w:t>
      </w:r>
      <w:r w:rsidRPr="00B67B5D">
        <w:rPr>
          <w:rFonts w:ascii="Sylfaen" w:hAnsi="Sylfaen" w:cs="AcadNusx"/>
          <w:lang w:val="it-IT"/>
        </w:rPr>
        <w:t xml:space="preserve"> </w:t>
      </w:r>
      <w:r w:rsidRPr="00B67B5D">
        <w:rPr>
          <w:rFonts w:ascii="Sylfaen" w:hAnsi="Sylfaen" w:cs="Sylfaen"/>
          <w:lang w:val="it-IT"/>
        </w:rPr>
        <w:t>აღინიშნა</w:t>
      </w:r>
      <w:r w:rsidRPr="00B67B5D">
        <w:rPr>
          <w:rFonts w:ascii="Sylfaen" w:hAnsi="Sylfaen" w:cs="AcadNusx"/>
          <w:lang w:val="ka-GE"/>
        </w:rPr>
        <w:t xml:space="preserve"> </w:t>
      </w:r>
      <w:r>
        <w:rPr>
          <w:rFonts w:ascii="Sylfaen" w:hAnsi="Sylfaen" w:cs="AcadNusx"/>
          <w:lang w:val="ka-GE"/>
        </w:rPr>
        <w:t xml:space="preserve">ტრანსპორტის (-0,9 პროცენტი) და კავშირგაბმულობის (-0,2 პროცენტი) </w:t>
      </w:r>
      <w:r>
        <w:rPr>
          <w:rFonts w:ascii="Sylfaen" w:hAnsi="Sylfaen" w:cs="Sylfaen"/>
          <w:lang w:val="ka-GE"/>
        </w:rPr>
        <w:t>სექტორებში</w:t>
      </w:r>
      <w:r w:rsidRPr="00B67B5D">
        <w:rPr>
          <w:rFonts w:ascii="Sylfaen" w:hAnsi="Sylfaen" w:cs="AcadNusx"/>
          <w:lang w:val="ka-GE"/>
        </w:rPr>
        <w:t>.</w:t>
      </w:r>
      <w:r>
        <w:rPr>
          <w:rFonts w:ascii="Sylfaen" w:hAnsi="Sylfaen" w:cs="AcadNusx"/>
          <w:lang w:val="ka-GE"/>
        </w:rPr>
        <w:t xml:space="preserve"> </w:t>
      </w:r>
    </w:p>
    <w:p w:rsidR="00484D50" w:rsidRDefault="00484D50" w:rsidP="007F668F">
      <w:pPr>
        <w:spacing w:line="312" w:lineRule="auto"/>
        <w:ind w:left="-567"/>
        <w:jc w:val="both"/>
        <w:rPr>
          <w:rFonts w:ascii="Sylfaen" w:hAnsi="Sylfaen" w:cs="AcadNusx"/>
        </w:rPr>
      </w:pPr>
      <w:r w:rsidRPr="00B67B5D">
        <w:rPr>
          <w:rFonts w:ascii="Sylfaen" w:hAnsi="Sylfaen" w:cs="AcadNusx"/>
          <w:lang w:val="ka-GE"/>
        </w:rPr>
        <w:t>ერთ სულზე მთლიანი შიდა პროდუქტის დინამიკა ასახულია ქვემოთ მოყვანილ გრაფიკზე:</w:t>
      </w:r>
    </w:p>
    <w:p w:rsidR="00484D50" w:rsidRPr="00484D50" w:rsidRDefault="00484D50" w:rsidP="007F668F">
      <w:pPr>
        <w:spacing w:line="312" w:lineRule="auto"/>
        <w:jc w:val="both"/>
        <w:rPr>
          <w:rFonts w:ascii="Sylfaen" w:hAnsi="Sylfaen" w:cs="AcadNusx"/>
        </w:rPr>
      </w:pPr>
      <w:r w:rsidRPr="00484D50">
        <w:rPr>
          <w:rFonts w:ascii="Sylfaen" w:hAnsi="Sylfaen" w:cs="AcadNusx"/>
          <w:noProof/>
        </w:rPr>
        <w:lastRenderedPageBreak/>
        <w:drawing>
          <wp:inline distT="0" distB="0" distL="0" distR="0">
            <wp:extent cx="5713840" cy="2409245"/>
            <wp:effectExtent l="19050" t="0" r="116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73DB" w:rsidRPr="00D41AE9" w:rsidRDefault="000473DB" w:rsidP="007F668F">
      <w:pPr>
        <w:spacing w:line="312" w:lineRule="auto"/>
        <w:jc w:val="both"/>
        <w:rPr>
          <w:rFonts w:ascii="Sylfaen" w:hAnsi="Sylfaen" w:cs="AcadNusx"/>
        </w:rPr>
      </w:pPr>
      <w:r w:rsidRPr="00D41AE9">
        <w:rPr>
          <w:sz w:val="20"/>
          <w:szCs w:val="20"/>
        </w:rPr>
        <w:t>*</w:t>
      </w:r>
      <w:r w:rsidRPr="00D41AE9">
        <w:rPr>
          <w:rFonts w:ascii="Sylfaen" w:hAnsi="Sylfaen" w:cs="Sylfaen"/>
          <w:sz w:val="20"/>
          <w:szCs w:val="20"/>
        </w:rPr>
        <w:t>წინასწარი</w:t>
      </w:r>
      <w:r w:rsidRPr="00D41AE9">
        <w:rPr>
          <w:sz w:val="20"/>
          <w:szCs w:val="20"/>
        </w:rPr>
        <w:t xml:space="preserve"> </w:t>
      </w:r>
      <w:r w:rsidRPr="00D41AE9">
        <w:rPr>
          <w:rFonts w:ascii="Sylfaen" w:hAnsi="Sylfaen" w:cs="Sylfaen"/>
          <w:sz w:val="20"/>
          <w:szCs w:val="20"/>
        </w:rPr>
        <w:t>მონაცემები</w:t>
      </w:r>
    </w:p>
    <w:p w:rsidR="002579C7" w:rsidRPr="00D41AE9" w:rsidRDefault="002579C7" w:rsidP="007F668F">
      <w:pPr>
        <w:spacing w:after="0" w:line="312" w:lineRule="auto"/>
        <w:ind w:hanging="720"/>
        <w:jc w:val="both"/>
        <w:rPr>
          <w:rFonts w:ascii="AcadNusx" w:hAnsi="AcadNusx" w:cs="AcadNusx"/>
          <w:sz w:val="20"/>
          <w:szCs w:val="20"/>
          <w:lang w:val="it-IT"/>
        </w:rPr>
      </w:pPr>
      <w:r w:rsidRPr="00D41AE9">
        <w:rPr>
          <w:rFonts w:ascii="Sylfaen" w:hAnsi="Sylfaen" w:cs="Sylfaen"/>
          <w:b/>
          <w:sz w:val="20"/>
          <w:szCs w:val="20"/>
          <w:lang w:val="it-IT"/>
        </w:rPr>
        <w:t>შენიშვნა</w:t>
      </w:r>
      <w:r w:rsidRPr="00D41AE9">
        <w:rPr>
          <w:rFonts w:ascii="AcadNusx" w:hAnsi="AcadNusx" w:cs="AcadNusx"/>
          <w:b/>
          <w:sz w:val="20"/>
          <w:szCs w:val="20"/>
          <w:lang w:val="it-IT"/>
        </w:rPr>
        <w:t xml:space="preserve">: </w:t>
      </w:r>
      <w:r w:rsidRPr="00D41AE9">
        <w:rPr>
          <w:rFonts w:ascii="Sylfaen" w:hAnsi="Sylfaen" w:cs="Sylfaen"/>
          <w:sz w:val="20"/>
          <w:szCs w:val="20"/>
          <w:lang w:val="it-IT"/>
        </w:rPr>
        <w:t>ცალკეულ</w:t>
      </w:r>
      <w:r w:rsidRPr="00D41AE9">
        <w:rPr>
          <w:rFonts w:ascii="AcadNusx" w:hAnsi="AcadNusx" w:cs="AcadNusx"/>
          <w:sz w:val="20"/>
          <w:szCs w:val="20"/>
          <w:lang w:val="it-IT"/>
        </w:rPr>
        <w:t xml:space="preserve"> </w:t>
      </w:r>
      <w:r w:rsidRPr="00D41AE9">
        <w:rPr>
          <w:rFonts w:ascii="Sylfaen" w:hAnsi="Sylfaen" w:cs="Sylfaen"/>
          <w:sz w:val="20"/>
          <w:szCs w:val="20"/>
          <w:lang w:val="it-IT"/>
        </w:rPr>
        <w:t>შემთხვევებში</w:t>
      </w:r>
      <w:r w:rsidRPr="00D41AE9">
        <w:rPr>
          <w:rFonts w:ascii="AcadNusx" w:hAnsi="AcadNusx" w:cs="AcadNusx"/>
          <w:sz w:val="20"/>
          <w:szCs w:val="20"/>
          <w:lang w:val="it-IT"/>
        </w:rPr>
        <w:t xml:space="preserve"> </w:t>
      </w:r>
      <w:r w:rsidRPr="00D41AE9">
        <w:rPr>
          <w:rFonts w:ascii="Sylfaen" w:hAnsi="Sylfaen" w:cs="Sylfaen"/>
          <w:sz w:val="20"/>
          <w:szCs w:val="20"/>
          <w:lang w:val="it-IT"/>
        </w:rPr>
        <w:t>მცირე</w:t>
      </w:r>
      <w:r w:rsidRPr="00D41AE9">
        <w:rPr>
          <w:rFonts w:ascii="AcadNusx" w:hAnsi="AcadNusx" w:cs="AcadNusx"/>
          <w:sz w:val="20"/>
          <w:szCs w:val="20"/>
          <w:lang w:val="it-IT"/>
        </w:rPr>
        <w:t xml:space="preserve"> </w:t>
      </w:r>
      <w:r w:rsidRPr="00D41AE9">
        <w:rPr>
          <w:rFonts w:ascii="Sylfaen" w:hAnsi="Sylfaen" w:cs="Sylfaen"/>
          <w:sz w:val="20"/>
          <w:szCs w:val="20"/>
          <w:lang w:val="it-IT"/>
        </w:rPr>
        <w:t>განსხვავება</w:t>
      </w:r>
      <w:r w:rsidRPr="00D41AE9">
        <w:rPr>
          <w:rFonts w:ascii="AcadNusx" w:hAnsi="AcadNusx" w:cs="AcadNusx"/>
          <w:sz w:val="20"/>
          <w:szCs w:val="20"/>
          <w:lang w:val="it-IT"/>
        </w:rPr>
        <w:t xml:space="preserve"> </w:t>
      </w:r>
      <w:r w:rsidRPr="00D41AE9">
        <w:rPr>
          <w:rFonts w:ascii="Sylfaen" w:hAnsi="Sylfaen" w:cs="Sylfaen"/>
          <w:sz w:val="20"/>
          <w:szCs w:val="20"/>
          <w:lang w:val="it-IT"/>
        </w:rPr>
        <w:t>საბოლოო</w:t>
      </w:r>
      <w:r w:rsidRPr="00D41AE9">
        <w:rPr>
          <w:rFonts w:ascii="AcadNusx" w:hAnsi="AcadNusx" w:cs="AcadNusx"/>
          <w:sz w:val="20"/>
          <w:szCs w:val="20"/>
          <w:lang w:val="it-IT"/>
        </w:rPr>
        <w:t xml:space="preserve"> </w:t>
      </w:r>
      <w:r w:rsidRPr="00D41AE9">
        <w:rPr>
          <w:rFonts w:ascii="Sylfaen" w:hAnsi="Sylfaen" w:cs="Sylfaen"/>
          <w:sz w:val="20"/>
          <w:szCs w:val="20"/>
          <w:lang w:val="it-IT"/>
        </w:rPr>
        <w:t>შედეგსა</w:t>
      </w:r>
      <w:r w:rsidRPr="00D41AE9">
        <w:rPr>
          <w:rFonts w:ascii="AcadNusx" w:hAnsi="AcadNusx" w:cs="AcadNusx"/>
          <w:sz w:val="20"/>
          <w:szCs w:val="20"/>
          <w:lang w:val="it-IT"/>
        </w:rPr>
        <w:t xml:space="preserve"> </w:t>
      </w:r>
      <w:r w:rsidRPr="00D41AE9">
        <w:rPr>
          <w:rFonts w:ascii="Sylfaen" w:hAnsi="Sylfaen" w:cs="Sylfaen"/>
          <w:sz w:val="20"/>
          <w:szCs w:val="20"/>
          <w:lang w:val="it-IT"/>
        </w:rPr>
        <w:t>და</w:t>
      </w:r>
      <w:r w:rsidRPr="00D41AE9">
        <w:rPr>
          <w:rFonts w:ascii="AcadNusx" w:hAnsi="AcadNusx" w:cs="AcadNusx"/>
          <w:sz w:val="20"/>
          <w:szCs w:val="20"/>
          <w:lang w:val="it-IT"/>
        </w:rPr>
        <w:t xml:space="preserve"> </w:t>
      </w:r>
      <w:r w:rsidRPr="00D41AE9">
        <w:rPr>
          <w:rFonts w:ascii="Sylfaen" w:hAnsi="Sylfaen" w:cs="Sylfaen"/>
          <w:sz w:val="20"/>
          <w:szCs w:val="20"/>
          <w:lang w:val="it-IT"/>
        </w:rPr>
        <w:t>შესაკრებთა</w:t>
      </w:r>
      <w:r w:rsidRPr="00D41AE9">
        <w:rPr>
          <w:rFonts w:ascii="AcadNusx" w:hAnsi="AcadNusx" w:cs="AcadNusx"/>
          <w:sz w:val="20"/>
          <w:szCs w:val="20"/>
          <w:lang w:val="it-IT"/>
        </w:rPr>
        <w:t xml:space="preserve"> </w:t>
      </w:r>
      <w:r w:rsidRPr="00D41AE9">
        <w:rPr>
          <w:rFonts w:ascii="Sylfaen" w:hAnsi="Sylfaen" w:cs="Sylfaen"/>
          <w:sz w:val="20"/>
          <w:szCs w:val="20"/>
          <w:lang w:val="it-IT"/>
        </w:rPr>
        <w:t>ჯამს</w:t>
      </w:r>
      <w:r w:rsidRPr="00D41AE9">
        <w:rPr>
          <w:rFonts w:ascii="AcadNusx" w:hAnsi="AcadNusx" w:cs="AcadNusx"/>
          <w:sz w:val="20"/>
          <w:szCs w:val="20"/>
          <w:lang w:val="it-IT"/>
        </w:rPr>
        <w:t xml:space="preserve"> </w:t>
      </w:r>
      <w:r w:rsidRPr="00D41AE9">
        <w:rPr>
          <w:rFonts w:ascii="Sylfaen" w:hAnsi="Sylfaen" w:cs="Sylfaen"/>
          <w:sz w:val="20"/>
          <w:szCs w:val="20"/>
          <w:lang w:val="it-IT"/>
        </w:rPr>
        <w:t>შორის</w:t>
      </w:r>
    </w:p>
    <w:p w:rsidR="002579C7" w:rsidRPr="00D41AE9" w:rsidRDefault="002579C7" w:rsidP="007F668F">
      <w:pPr>
        <w:tabs>
          <w:tab w:val="left" w:pos="360"/>
        </w:tabs>
        <w:spacing w:after="0" w:line="312" w:lineRule="auto"/>
        <w:ind w:left="360" w:hanging="360"/>
        <w:jc w:val="both"/>
        <w:rPr>
          <w:rFonts w:ascii="AcadNusx" w:hAnsi="AcadNusx" w:cs="Times New Roman"/>
          <w:sz w:val="20"/>
          <w:szCs w:val="20"/>
          <w:lang w:val="it-IT"/>
        </w:rPr>
      </w:pPr>
      <w:r w:rsidRPr="00D41AE9">
        <w:rPr>
          <w:rFonts w:ascii="AcadNusx" w:hAnsi="AcadNusx" w:cs="AcadNusx"/>
          <w:sz w:val="20"/>
          <w:szCs w:val="20"/>
          <w:lang w:val="it-IT"/>
        </w:rPr>
        <w:t xml:space="preserve">   </w:t>
      </w:r>
      <w:r w:rsidRPr="00D41AE9">
        <w:rPr>
          <w:rFonts w:ascii="Sylfaen" w:hAnsi="Sylfaen" w:cs="Sylfaen"/>
          <w:sz w:val="20"/>
          <w:szCs w:val="20"/>
          <w:lang w:val="it-IT"/>
        </w:rPr>
        <w:t>აიხსნება</w:t>
      </w:r>
      <w:r w:rsidRPr="00D41AE9">
        <w:rPr>
          <w:rFonts w:ascii="AcadNusx" w:hAnsi="AcadNusx" w:cs="AcadNusx"/>
          <w:sz w:val="20"/>
          <w:szCs w:val="20"/>
          <w:lang w:val="it-IT"/>
        </w:rPr>
        <w:t xml:space="preserve"> </w:t>
      </w:r>
      <w:r w:rsidRPr="00D41AE9">
        <w:rPr>
          <w:rFonts w:ascii="Sylfaen" w:hAnsi="Sylfaen" w:cs="Sylfaen"/>
          <w:sz w:val="20"/>
          <w:szCs w:val="20"/>
          <w:lang w:val="it-IT"/>
        </w:rPr>
        <w:t>მონაცემთა</w:t>
      </w:r>
      <w:r w:rsidRPr="00D41AE9">
        <w:rPr>
          <w:rFonts w:ascii="AcadNusx" w:hAnsi="AcadNusx" w:cs="AcadNusx"/>
          <w:sz w:val="20"/>
          <w:szCs w:val="20"/>
          <w:lang w:val="it-IT"/>
        </w:rPr>
        <w:t xml:space="preserve"> </w:t>
      </w:r>
      <w:r w:rsidRPr="00D41AE9">
        <w:rPr>
          <w:rFonts w:ascii="Sylfaen" w:hAnsi="Sylfaen" w:cs="Sylfaen"/>
          <w:sz w:val="20"/>
          <w:szCs w:val="20"/>
          <w:lang w:val="it-IT"/>
        </w:rPr>
        <w:t>დამრგვალებით</w:t>
      </w:r>
      <w:r w:rsidRPr="00D41AE9">
        <w:rPr>
          <w:rFonts w:ascii="AcadNusx" w:hAnsi="AcadNusx" w:cs="AcadNusx"/>
          <w:sz w:val="20"/>
          <w:szCs w:val="20"/>
          <w:lang w:val="it-IT"/>
        </w:rPr>
        <w:t>.</w:t>
      </w:r>
    </w:p>
    <w:p w:rsidR="000473DB" w:rsidRPr="00D41AE9" w:rsidRDefault="000473DB" w:rsidP="00D41AE9">
      <w:pPr>
        <w:rPr>
          <w:rFonts w:ascii="Sylfaen" w:eastAsia="Times New Roman" w:hAnsi="Sylfaen" w:cs="Arial"/>
          <w:b/>
          <w:sz w:val="24"/>
          <w:szCs w:val="24"/>
          <w:lang w:val="ka-GE" w:eastAsia="ru-RU"/>
        </w:rPr>
      </w:pPr>
    </w:p>
    <w:p w:rsidR="000473DB" w:rsidRPr="00AA041B" w:rsidRDefault="000473DB">
      <w:pPr>
        <w:rPr>
          <w:rFonts w:ascii="Sylfaen" w:eastAsia="Times New Roman" w:hAnsi="Sylfaen" w:cs="Arial"/>
          <w:b/>
          <w:color w:val="FF0000"/>
          <w:sz w:val="24"/>
          <w:szCs w:val="24"/>
          <w:lang w:val="ka-GE" w:eastAsia="ru-RU"/>
        </w:rPr>
      </w:pPr>
      <w:r w:rsidRPr="00AA041B">
        <w:rPr>
          <w:rFonts w:ascii="Sylfaen" w:eastAsia="Times New Roman" w:hAnsi="Sylfaen" w:cs="Arial"/>
          <w:b/>
          <w:color w:val="FF0000"/>
          <w:sz w:val="24"/>
          <w:szCs w:val="24"/>
          <w:lang w:val="ka-GE" w:eastAsia="ru-RU"/>
        </w:rPr>
        <w:br w:type="page"/>
      </w:r>
    </w:p>
    <w:p w:rsidR="00036365" w:rsidRDefault="00036365" w:rsidP="00036365">
      <w:pPr>
        <w:tabs>
          <w:tab w:val="center" w:pos="5315"/>
          <w:tab w:val="right" w:pos="10631"/>
        </w:tabs>
        <w:spacing w:after="0" w:line="240" w:lineRule="auto"/>
        <w:jc w:val="center"/>
        <w:rPr>
          <w:rFonts w:ascii="Sylfaen" w:eastAsia="Times New Roman" w:hAnsi="Sylfaen" w:cs="Arial"/>
          <w:b/>
          <w:sz w:val="24"/>
          <w:szCs w:val="24"/>
          <w:lang w:val="ka-GE" w:eastAsia="ru-RU"/>
        </w:rPr>
      </w:pPr>
      <w:r w:rsidRPr="00710675">
        <w:rPr>
          <w:rFonts w:ascii="Sylfaen" w:eastAsia="Times New Roman" w:hAnsi="Sylfaen" w:cs="Arial"/>
          <w:b/>
          <w:sz w:val="24"/>
          <w:szCs w:val="24"/>
          <w:lang w:val="ka-GE" w:eastAsia="ru-RU"/>
        </w:rPr>
        <w:lastRenderedPageBreak/>
        <w:t>ინფლაცია საქართველოში, 201</w:t>
      </w:r>
      <w:r w:rsidR="006E69C0">
        <w:rPr>
          <w:rFonts w:ascii="Sylfaen" w:eastAsia="Times New Roman" w:hAnsi="Sylfaen" w:cs="Arial"/>
          <w:b/>
          <w:sz w:val="24"/>
          <w:szCs w:val="24"/>
          <w:lang w:eastAsia="ru-RU"/>
        </w:rPr>
        <w:t>6</w:t>
      </w:r>
      <w:r w:rsidRPr="00710675">
        <w:rPr>
          <w:rFonts w:ascii="Sylfaen" w:eastAsia="Times New Roman" w:hAnsi="Sylfaen" w:cs="Arial"/>
          <w:b/>
          <w:sz w:val="24"/>
          <w:szCs w:val="24"/>
          <w:lang w:val="ka-GE" w:eastAsia="ru-RU"/>
        </w:rPr>
        <w:t xml:space="preserve"> წლის </w:t>
      </w:r>
      <w:r>
        <w:rPr>
          <w:rFonts w:ascii="Sylfaen" w:eastAsia="Times New Roman" w:hAnsi="Sylfaen" w:cs="Arial"/>
          <w:b/>
          <w:sz w:val="24"/>
          <w:szCs w:val="24"/>
          <w:lang w:val="ka-GE" w:eastAsia="ru-RU"/>
        </w:rPr>
        <w:t>დეკემბერი</w:t>
      </w:r>
    </w:p>
    <w:p w:rsidR="00406F86" w:rsidRPr="00AA041B" w:rsidRDefault="00406F86" w:rsidP="00406F86">
      <w:pPr>
        <w:spacing w:after="0" w:line="240" w:lineRule="auto"/>
        <w:ind w:firstLine="720"/>
        <w:jc w:val="both"/>
        <w:rPr>
          <w:rFonts w:ascii="Sylfaen" w:eastAsia="Times New Roman" w:hAnsi="Sylfaen" w:cs="Arial"/>
          <w:color w:val="FF0000"/>
          <w:lang w:eastAsia="ru-RU"/>
        </w:rPr>
      </w:pPr>
    </w:p>
    <w:p w:rsidR="006E69C0" w:rsidRDefault="00036365" w:rsidP="007F668F">
      <w:pPr>
        <w:spacing w:after="0" w:line="312" w:lineRule="auto"/>
        <w:ind w:left="-567"/>
        <w:contextualSpacing/>
        <w:jc w:val="both"/>
        <w:rPr>
          <w:rFonts w:ascii="Sylfaen" w:hAnsi="Sylfaen" w:cs="Arial"/>
          <w:lang w:eastAsia="ru-RU"/>
        </w:rPr>
      </w:pPr>
      <w:bookmarkStart w:id="0" w:name="_GoBack"/>
      <w:bookmarkEnd w:id="0"/>
      <w:r w:rsidRPr="00F90F7C">
        <w:rPr>
          <w:rFonts w:ascii="Sylfaen" w:eastAsia="Times New Roman" w:hAnsi="Sylfaen" w:cs="Arial"/>
          <w:lang w:val="ka-GE" w:eastAsia="ru-RU"/>
        </w:rPr>
        <w:t>201</w:t>
      </w:r>
      <w:r w:rsidR="006E69C0">
        <w:rPr>
          <w:rFonts w:ascii="Sylfaen" w:eastAsia="Times New Roman" w:hAnsi="Sylfaen" w:cs="Arial"/>
          <w:lang w:eastAsia="ru-RU"/>
        </w:rPr>
        <w:t>6</w:t>
      </w:r>
      <w:r>
        <w:rPr>
          <w:rFonts w:ascii="Sylfaen" w:eastAsia="Times New Roman" w:hAnsi="Sylfaen" w:cs="Arial"/>
          <w:lang w:val="ka-GE" w:eastAsia="ru-RU"/>
        </w:rPr>
        <w:t xml:space="preserve"> წლის დეკემბერში </w:t>
      </w:r>
      <w:r w:rsidRPr="00F90F7C">
        <w:rPr>
          <w:rFonts w:ascii="Sylfaen" w:eastAsia="Times New Roman" w:hAnsi="Sylfaen" w:cs="Arial"/>
          <w:lang w:val="ka-GE" w:eastAsia="ru-RU"/>
        </w:rPr>
        <w:t>201</w:t>
      </w:r>
      <w:r w:rsidR="006E69C0">
        <w:rPr>
          <w:rFonts w:ascii="Sylfaen" w:eastAsia="Times New Roman" w:hAnsi="Sylfaen" w:cs="Arial"/>
          <w:lang w:eastAsia="ru-RU"/>
        </w:rPr>
        <w:t>5</w:t>
      </w:r>
      <w:r w:rsidRPr="00F90F7C">
        <w:rPr>
          <w:rFonts w:ascii="Sylfaen" w:eastAsia="Times New Roman" w:hAnsi="Sylfaen" w:cs="Arial"/>
          <w:lang w:val="ka-GE" w:eastAsia="ru-RU"/>
        </w:rPr>
        <w:t xml:space="preserve"> წლის </w:t>
      </w:r>
      <w:r>
        <w:rPr>
          <w:rFonts w:ascii="Sylfaen" w:eastAsia="Times New Roman" w:hAnsi="Sylfaen" w:cs="Arial"/>
          <w:lang w:val="ka-GE" w:eastAsia="ru-RU"/>
        </w:rPr>
        <w:t xml:space="preserve">დეკემბერთან </w:t>
      </w:r>
      <w:r w:rsidRPr="00F90F7C">
        <w:rPr>
          <w:rFonts w:ascii="Sylfaen" w:eastAsia="Times New Roman" w:hAnsi="Sylfaen" w:cs="Arial"/>
          <w:lang w:val="ka-GE" w:eastAsia="ru-RU"/>
        </w:rPr>
        <w:t xml:space="preserve">შედარებით </w:t>
      </w:r>
      <w:r w:rsidR="006E69C0" w:rsidRPr="002E33E3">
        <w:rPr>
          <w:rFonts w:ascii="Sylfaen" w:hAnsi="Sylfaen" w:cs="Arial"/>
          <w:lang w:val="ka-GE" w:eastAsia="ru-RU"/>
        </w:rPr>
        <w:t xml:space="preserve">(წლიური ინფლაციის დონე) </w:t>
      </w:r>
      <w:r w:rsidR="006E69C0" w:rsidRPr="00F90F7C">
        <w:rPr>
          <w:rFonts w:ascii="Sylfaen" w:eastAsia="Times New Roman" w:hAnsi="Sylfaen" w:cs="Arial"/>
          <w:lang w:val="ka-GE" w:eastAsia="ru-RU"/>
        </w:rPr>
        <w:t>ინფლაციის დონემ საქართველოში</w:t>
      </w:r>
      <w:r w:rsidR="006E69C0">
        <w:rPr>
          <w:rFonts w:ascii="Sylfaen" w:eastAsia="Times New Roman" w:hAnsi="Sylfaen" w:cs="Arial"/>
          <w:lang w:eastAsia="ru-RU"/>
        </w:rPr>
        <w:t xml:space="preserve"> </w:t>
      </w:r>
      <w:r w:rsidR="006E69C0">
        <w:rPr>
          <w:rFonts w:ascii="Sylfaen" w:hAnsi="Sylfaen" w:cs="Arial"/>
          <w:lang w:val="ka-GE" w:eastAsia="ru-RU"/>
        </w:rPr>
        <w:t>1,8</w:t>
      </w:r>
      <w:r w:rsidR="006E69C0" w:rsidRPr="002E33E3">
        <w:rPr>
          <w:rFonts w:ascii="Sylfaen" w:hAnsi="Sylfaen" w:cs="Arial"/>
          <w:lang w:val="ka-GE" w:eastAsia="ru-RU"/>
        </w:rPr>
        <w:t xml:space="preserve"> პროცენტი შეადგინა.</w:t>
      </w:r>
      <w:r w:rsidR="006E69C0">
        <w:rPr>
          <w:rFonts w:ascii="Sylfaen" w:hAnsi="Sylfaen" w:cs="Arial"/>
          <w:lang w:eastAsia="ru-RU"/>
        </w:rPr>
        <w:t xml:space="preserve"> </w:t>
      </w:r>
      <w:r w:rsidR="006E69C0" w:rsidRPr="003A67FF">
        <w:rPr>
          <w:rFonts w:ascii="Sylfaen" w:hAnsi="Sylfaen" w:cs="Arial"/>
          <w:lang w:val="ka-GE" w:eastAsia="ru-RU"/>
        </w:rPr>
        <w:t>ქვემოთ მოცემულ ცხრილში წარმოდგენილია სამომხმარებლო კალათაში შემავალი</w:t>
      </w:r>
      <w:r w:rsidR="006E69C0" w:rsidRPr="003A67FF">
        <w:rPr>
          <w:rFonts w:ascii="Sylfaen" w:hAnsi="Sylfaen" w:cs="Arial"/>
          <w:lang w:eastAsia="ru-RU"/>
        </w:rPr>
        <w:t xml:space="preserve"> </w:t>
      </w:r>
      <w:r w:rsidR="006E69C0" w:rsidRPr="003A67FF">
        <w:rPr>
          <w:rFonts w:ascii="Sylfaen" w:hAnsi="Sylfaen" w:cs="Arial"/>
          <w:lang w:val="ka-GE" w:eastAsia="ru-RU"/>
        </w:rPr>
        <w:t>საქონლისა და მომსახურების ჯგუფების ფასების პროცენტული ცვლილება და შესაბამისი წვლილი</w:t>
      </w:r>
      <w:r w:rsidR="006E69C0">
        <w:rPr>
          <w:rFonts w:ascii="Sylfaen" w:hAnsi="Sylfaen" w:cs="Arial"/>
          <w:lang w:val="ka-GE" w:eastAsia="ru-RU"/>
        </w:rPr>
        <w:t xml:space="preserve"> </w:t>
      </w:r>
      <w:r w:rsidR="006E69C0" w:rsidRPr="00C11120">
        <w:rPr>
          <w:rFonts w:ascii="Sylfaen" w:hAnsi="Sylfaen" w:cs="Arial"/>
          <w:b/>
          <w:lang w:val="ka-GE" w:eastAsia="ru-RU"/>
        </w:rPr>
        <w:t>წინა თვესთან შედარებით</w:t>
      </w:r>
      <w:r w:rsidR="006E69C0" w:rsidRPr="003A67FF">
        <w:rPr>
          <w:rFonts w:ascii="Sylfaen" w:hAnsi="Sylfaen" w:cs="Arial"/>
          <w:lang w:val="ka-GE" w:eastAsia="ru-RU"/>
        </w:rPr>
        <w:t xml:space="preserve"> ინფლაციის მთლიან მაჩვენებელში.</w:t>
      </w:r>
    </w:p>
    <w:tbl>
      <w:tblPr>
        <w:tblW w:w="11693" w:type="dxa"/>
        <w:tblInd w:w="-1026" w:type="dxa"/>
        <w:tblLook w:val="04A0"/>
      </w:tblPr>
      <w:tblGrid>
        <w:gridCol w:w="3596"/>
        <w:gridCol w:w="641"/>
        <w:gridCol w:w="7456"/>
      </w:tblGrid>
      <w:tr w:rsidR="000156B1" w:rsidRPr="00D84793" w:rsidTr="000156B1">
        <w:trPr>
          <w:trHeight w:val="589"/>
        </w:trPr>
        <w:tc>
          <w:tcPr>
            <w:tcW w:w="4237" w:type="dxa"/>
            <w:gridSpan w:val="2"/>
            <w:tcBorders>
              <w:top w:val="nil"/>
              <w:left w:val="nil"/>
              <w:bottom w:val="nil"/>
              <w:right w:val="nil"/>
            </w:tcBorders>
            <w:shd w:val="clear" w:color="auto" w:fill="auto"/>
            <w:vAlign w:val="bottom"/>
            <w:hideMark/>
          </w:tcPr>
          <w:p w:rsidR="000156B1" w:rsidRPr="00D84793" w:rsidRDefault="000156B1" w:rsidP="00EF0074">
            <w:pPr>
              <w:spacing w:after="0" w:line="240" w:lineRule="auto"/>
              <w:jc w:val="center"/>
              <w:rPr>
                <w:rFonts w:ascii="Sylfaen" w:hAnsi="Sylfaen" w:cs="Arial"/>
                <w:b/>
                <w:bCs/>
                <w:sz w:val="16"/>
                <w:szCs w:val="16"/>
              </w:rPr>
            </w:pPr>
            <w:r w:rsidRPr="00D84793">
              <w:rPr>
                <w:rFonts w:ascii="Sylfaen" w:hAnsi="Sylfaen" w:cs="Arial"/>
                <w:b/>
                <w:bCs/>
                <w:sz w:val="16"/>
                <w:szCs w:val="16"/>
              </w:rPr>
              <w:t>პროცენტული ცვლილება წინა თვესთან შედარებით</w:t>
            </w:r>
          </w:p>
        </w:tc>
        <w:tc>
          <w:tcPr>
            <w:tcW w:w="7456" w:type="dxa"/>
            <w:tcBorders>
              <w:top w:val="nil"/>
              <w:left w:val="nil"/>
              <w:bottom w:val="nil"/>
              <w:right w:val="nil"/>
            </w:tcBorders>
            <w:shd w:val="clear" w:color="auto" w:fill="auto"/>
            <w:vAlign w:val="bottom"/>
            <w:hideMark/>
          </w:tcPr>
          <w:p w:rsidR="000156B1" w:rsidRPr="00D84793" w:rsidRDefault="000156B1" w:rsidP="00EF0074">
            <w:pPr>
              <w:spacing w:after="0" w:line="240" w:lineRule="auto"/>
              <w:jc w:val="center"/>
              <w:rPr>
                <w:rFonts w:ascii="Sylfaen" w:hAnsi="Sylfaen" w:cs="Arial"/>
                <w:b/>
                <w:bCs/>
                <w:sz w:val="16"/>
                <w:szCs w:val="16"/>
              </w:rPr>
            </w:pPr>
            <w:r w:rsidRPr="00D84793">
              <w:rPr>
                <w:rFonts w:ascii="Sylfaen" w:hAnsi="Sylfaen" w:cs="Arial"/>
                <w:b/>
                <w:bCs/>
                <w:sz w:val="16"/>
                <w:szCs w:val="16"/>
              </w:rPr>
              <w:t>ჯგუფების წვლილი</w:t>
            </w:r>
            <w:r w:rsidRPr="005D2AD9">
              <w:rPr>
                <w:rStyle w:val="FootnoteReference"/>
                <w:rFonts w:cs="Sylfaen"/>
                <w:b/>
                <w:bCs/>
                <w:sz w:val="16"/>
                <w:szCs w:val="16"/>
                <w:lang w:val="ru-RU" w:eastAsia="ru-RU"/>
              </w:rPr>
              <w:footnoteReference w:customMarkFollows="1" w:id="2"/>
              <w:t>*</w:t>
            </w:r>
            <w:r w:rsidRPr="00D84793">
              <w:rPr>
                <w:rFonts w:ascii="Sylfaen" w:hAnsi="Sylfaen" w:cs="Arial"/>
                <w:b/>
                <w:bCs/>
                <w:sz w:val="16"/>
                <w:szCs w:val="16"/>
              </w:rPr>
              <w:t xml:space="preserve"> 2016 წლის </w:t>
            </w:r>
            <w:r>
              <w:rPr>
                <w:rFonts w:ascii="Sylfaen" w:hAnsi="Sylfaen" w:cs="Arial"/>
                <w:b/>
                <w:bCs/>
                <w:sz w:val="16"/>
                <w:szCs w:val="16"/>
                <w:lang w:val="ka-GE"/>
              </w:rPr>
              <w:t>დეკემბრის</w:t>
            </w:r>
            <w:r w:rsidRPr="00D84793">
              <w:rPr>
                <w:rFonts w:ascii="Sylfaen" w:hAnsi="Sylfaen" w:cs="Arial"/>
                <w:b/>
                <w:bCs/>
                <w:sz w:val="16"/>
                <w:szCs w:val="16"/>
              </w:rPr>
              <w:t xml:space="preserve"> ინფლაციაში (სულ 1,0%)</w:t>
            </w:r>
          </w:p>
        </w:tc>
      </w:tr>
      <w:tr w:rsidR="000156B1" w:rsidRPr="00D84793" w:rsidTr="000156B1">
        <w:trPr>
          <w:trHeight w:val="246"/>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c>
          <w:tcPr>
            <w:tcW w:w="641" w:type="dxa"/>
            <w:tcBorders>
              <w:top w:val="nil"/>
              <w:left w:val="nil"/>
              <w:bottom w:val="nil"/>
              <w:right w:val="nil"/>
            </w:tcBorders>
            <w:shd w:val="clear" w:color="auto" w:fill="auto"/>
            <w:vAlign w:val="center"/>
            <w:hideMark/>
          </w:tcPr>
          <w:p w:rsidR="000156B1" w:rsidRPr="00D84793" w:rsidRDefault="000156B1" w:rsidP="00EF0074">
            <w:pPr>
              <w:spacing w:after="0" w:line="240" w:lineRule="auto"/>
              <w:jc w:val="center"/>
              <w:rPr>
                <w:rFonts w:ascii="Sylfaen" w:hAnsi="Sylfaen" w:cs="Arial"/>
                <w:b/>
                <w:bCs/>
                <w:sz w:val="16"/>
                <w:szCs w:val="16"/>
              </w:rPr>
            </w:pPr>
            <w:r w:rsidRPr="00D84793">
              <w:rPr>
                <w:rFonts w:ascii="Sylfaen" w:hAnsi="Sylfaen" w:cs="Arial"/>
                <w:b/>
                <w:bCs/>
                <w:sz w:val="16"/>
                <w:szCs w:val="16"/>
              </w:rPr>
              <w:t>%</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Arial" w:hAnsi="Arial" w:cs="Arial"/>
                <w:sz w:val="20"/>
                <w:szCs w:val="20"/>
              </w:rPr>
            </w:pPr>
          </w:p>
          <w:tbl>
            <w:tblPr>
              <w:tblW w:w="0" w:type="auto"/>
              <w:tblCellSpacing w:w="0" w:type="dxa"/>
              <w:tblCellMar>
                <w:left w:w="0" w:type="dxa"/>
                <w:right w:w="0" w:type="dxa"/>
              </w:tblCellMar>
              <w:tblLook w:val="04A0"/>
            </w:tblPr>
            <w:tblGrid>
              <w:gridCol w:w="7233"/>
            </w:tblGrid>
            <w:tr w:rsidR="000156B1" w:rsidRPr="00D84793" w:rsidTr="000156B1">
              <w:trPr>
                <w:trHeight w:val="246"/>
                <w:tblCellSpacing w:w="0" w:type="dxa"/>
              </w:trPr>
              <w:tc>
                <w:tcPr>
                  <w:tcW w:w="7233"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Pr>
                      <w:noProof/>
                    </w:rPr>
                    <w:drawing>
                      <wp:anchor distT="0" distB="0" distL="114300" distR="114300" simplePos="0" relativeHeight="251660288" behindDoc="0" locked="0" layoutInCell="1" allowOverlap="1">
                        <wp:simplePos x="0" y="0"/>
                        <wp:positionH relativeFrom="column">
                          <wp:posOffset>41275</wp:posOffset>
                        </wp:positionH>
                        <wp:positionV relativeFrom="paragraph">
                          <wp:posOffset>28575</wp:posOffset>
                        </wp:positionV>
                        <wp:extent cx="4237990" cy="2846070"/>
                        <wp:effectExtent l="0" t="0" r="0" b="0"/>
                        <wp:wrapNone/>
                        <wp:docPr id="1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bl>
          <w:p w:rsidR="000156B1" w:rsidRPr="00D84793" w:rsidRDefault="000156B1" w:rsidP="00EF0074">
            <w:pPr>
              <w:spacing w:after="0" w:line="240" w:lineRule="auto"/>
              <w:rPr>
                <w:rFonts w:ascii="Arial" w:hAnsi="Arial" w:cs="Arial"/>
                <w:sz w:val="20"/>
                <w:szCs w:val="20"/>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სურსათი და უალკოჰოლო სასმელები</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1.5</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ალკოჰოლური სასმელები, თამბაქო</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1.4</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ტანსაცმელი და ფეხსაცმელი</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-0.3</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საცხოვრებელი, წყალი, ელ.ენერგია, აირი</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0.7</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ავეჯი, საოჯახო ნივთები, სახლის მოვლა</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0.2</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ჯანმრთელობის დაცვა</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0.7</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ტრანსპორტი</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2.3</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კავშირგაბმულობა</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0.0</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დასვენება, გართობა და კულტურა</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0.5</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განათლება</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0.3</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სასტუმროები, კაფეები და რესტორნები</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0.3</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r w:rsidRPr="00D84793">
              <w:rPr>
                <w:rFonts w:ascii="Sylfaen" w:hAnsi="Sylfaen" w:cs="Arial"/>
                <w:sz w:val="16"/>
                <w:szCs w:val="16"/>
              </w:rPr>
              <w:t>სხვადასხვა საქონელი და მომსახურება</w:t>
            </w: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right"/>
              <w:rPr>
                <w:rFonts w:ascii="Sylfaen" w:hAnsi="Sylfaen" w:cs="Arial"/>
                <w:sz w:val="16"/>
                <w:szCs w:val="16"/>
              </w:rPr>
            </w:pPr>
            <w:r w:rsidRPr="00D84793">
              <w:rPr>
                <w:rFonts w:ascii="Sylfaen" w:hAnsi="Sylfaen" w:cs="Arial"/>
                <w:sz w:val="16"/>
                <w:szCs w:val="16"/>
              </w:rPr>
              <w:t>0.1</w:t>
            </w: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327"/>
        </w:trPr>
        <w:tc>
          <w:tcPr>
            <w:tcW w:w="359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c>
          <w:tcPr>
            <w:tcW w:w="641"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jc w:val="center"/>
              <w:rPr>
                <w:rFonts w:ascii="Sylfaen" w:hAnsi="Sylfaen" w:cs="Arial"/>
                <w:sz w:val="16"/>
                <w:szCs w:val="16"/>
              </w:rPr>
            </w:pPr>
          </w:p>
        </w:tc>
        <w:tc>
          <w:tcPr>
            <w:tcW w:w="7456" w:type="dxa"/>
            <w:tcBorders>
              <w:top w:val="nil"/>
              <w:left w:val="nil"/>
              <w:bottom w:val="nil"/>
              <w:right w:val="nil"/>
            </w:tcBorders>
            <w:shd w:val="clear" w:color="auto" w:fill="auto"/>
            <w:noWrap/>
            <w:vAlign w:val="bottom"/>
            <w:hideMark/>
          </w:tcPr>
          <w:p w:rsidR="000156B1" w:rsidRPr="00D84793" w:rsidRDefault="000156B1" w:rsidP="00EF0074">
            <w:pPr>
              <w:spacing w:after="0" w:line="240" w:lineRule="auto"/>
              <w:rPr>
                <w:rFonts w:ascii="Sylfaen" w:hAnsi="Sylfaen" w:cs="Arial"/>
                <w:sz w:val="16"/>
                <w:szCs w:val="16"/>
              </w:rPr>
            </w:pPr>
          </w:p>
        </w:tc>
      </w:tr>
      <w:tr w:rsidR="000156B1" w:rsidRPr="00D84793" w:rsidTr="000156B1">
        <w:trPr>
          <w:trHeight w:val="409"/>
        </w:trPr>
        <w:tc>
          <w:tcPr>
            <w:tcW w:w="3596" w:type="dxa"/>
            <w:tcBorders>
              <w:top w:val="single" w:sz="4" w:space="0" w:color="auto"/>
              <w:left w:val="nil"/>
              <w:bottom w:val="nil"/>
              <w:right w:val="nil"/>
            </w:tcBorders>
            <w:shd w:val="clear" w:color="auto" w:fill="auto"/>
            <w:vAlign w:val="bottom"/>
            <w:hideMark/>
          </w:tcPr>
          <w:p w:rsidR="000156B1" w:rsidRPr="00D84793" w:rsidRDefault="000156B1" w:rsidP="00EF0074">
            <w:pPr>
              <w:spacing w:after="0" w:line="240" w:lineRule="auto"/>
              <w:rPr>
                <w:rFonts w:ascii="Sylfaen" w:hAnsi="Sylfaen" w:cs="Arial"/>
                <w:b/>
                <w:bCs/>
                <w:sz w:val="16"/>
                <w:szCs w:val="16"/>
              </w:rPr>
            </w:pPr>
            <w:r w:rsidRPr="00D84793">
              <w:rPr>
                <w:rFonts w:ascii="Sylfaen" w:hAnsi="Sylfaen" w:cs="Arial"/>
                <w:b/>
                <w:bCs/>
                <w:sz w:val="16"/>
                <w:szCs w:val="16"/>
              </w:rPr>
              <w:t>ინფლაციის დონე, სულ</w:t>
            </w:r>
          </w:p>
        </w:tc>
        <w:tc>
          <w:tcPr>
            <w:tcW w:w="641" w:type="dxa"/>
            <w:tcBorders>
              <w:top w:val="single" w:sz="4" w:space="0" w:color="auto"/>
              <w:left w:val="nil"/>
              <w:bottom w:val="nil"/>
              <w:right w:val="nil"/>
            </w:tcBorders>
            <w:shd w:val="clear" w:color="auto" w:fill="auto"/>
            <w:vAlign w:val="bottom"/>
            <w:hideMark/>
          </w:tcPr>
          <w:p w:rsidR="000156B1" w:rsidRPr="00D84793" w:rsidRDefault="000156B1" w:rsidP="00EF0074">
            <w:pPr>
              <w:spacing w:after="0" w:line="240" w:lineRule="auto"/>
              <w:jc w:val="right"/>
              <w:rPr>
                <w:rFonts w:ascii="Sylfaen" w:hAnsi="Sylfaen" w:cs="Arial"/>
                <w:b/>
                <w:bCs/>
                <w:sz w:val="16"/>
                <w:szCs w:val="16"/>
              </w:rPr>
            </w:pPr>
            <w:r w:rsidRPr="00D84793">
              <w:rPr>
                <w:rFonts w:ascii="Sylfaen" w:hAnsi="Sylfaen" w:cs="Arial"/>
                <w:b/>
                <w:bCs/>
                <w:sz w:val="16"/>
                <w:szCs w:val="16"/>
              </w:rPr>
              <w:t>1.0</w:t>
            </w:r>
          </w:p>
        </w:tc>
        <w:tc>
          <w:tcPr>
            <w:tcW w:w="7456" w:type="dxa"/>
            <w:tcBorders>
              <w:top w:val="nil"/>
              <w:left w:val="nil"/>
              <w:bottom w:val="nil"/>
              <w:right w:val="nil"/>
            </w:tcBorders>
            <w:shd w:val="clear" w:color="auto" w:fill="auto"/>
            <w:vAlign w:val="bottom"/>
            <w:hideMark/>
          </w:tcPr>
          <w:p w:rsidR="000156B1" w:rsidRPr="00D84793" w:rsidRDefault="000156B1" w:rsidP="00EF0074">
            <w:pPr>
              <w:spacing w:after="0" w:line="240" w:lineRule="auto"/>
              <w:ind w:firstLineChars="2100" w:firstLine="3373"/>
              <w:rPr>
                <w:rFonts w:ascii="Sylfaen" w:hAnsi="Sylfaen" w:cs="Arial"/>
                <w:b/>
                <w:bCs/>
                <w:sz w:val="16"/>
                <w:szCs w:val="16"/>
              </w:rPr>
            </w:pPr>
            <w:r w:rsidRPr="00D84793">
              <w:rPr>
                <w:rFonts w:ascii="Sylfaen" w:hAnsi="Sylfaen" w:cs="Arial"/>
                <w:b/>
                <w:bCs/>
                <w:sz w:val="16"/>
                <w:szCs w:val="16"/>
              </w:rPr>
              <w:t xml:space="preserve">    პროცენტული პუნქტი</w:t>
            </w:r>
          </w:p>
        </w:tc>
      </w:tr>
    </w:tbl>
    <w:p w:rsidR="006E69C0" w:rsidRDefault="006E69C0" w:rsidP="006E69C0">
      <w:pPr>
        <w:spacing w:after="0"/>
        <w:ind w:left="-567"/>
        <w:contextualSpacing/>
        <w:jc w:val="both"/>
        <w:rPr>
          <w:rFonts w:ascii="Sylfaen" w:hAnsi="Sylfaen" w:cs="Arial"/>
          <w:lang w:eastAsia="ru-RU"/>
        </w:rPr>
      </w:pPr>
    </w:p>
    <w:p w:rsidR="000156B1" w:rsidRDefault="000156B1" w:rsidP="000156B1">
      <w:pPr>
        <w:spacing w:after="0"/>
        <w:ind w:left="-567"/>
        <w:contextualSpacing/>
        <w:jc w:val="both"/>
        <w:rPr>
          <w:rFonts w:ascii="Sylfaen" w:hAnsi="Sylfaen" w:cs="Arial"/>
          <w:lang w:eastAsia="ru-RU"/>
        </w:rPr>
      </w:pPr>
    </w:p>
    <w:p w:rsidR="000156B1" w:rsidRDefault="000156B1" w:rsidP="007F668F">
      <w:pPr>
        <w:spacing w:before="100" w:beforeAutospacing="1" w:after="100" w:afterAutospacing="1" w:line="312" w:lineRule="auto"/>
        <w:ind w:left="-567"/>
        <w:jc w:val="both"/>
        <w:rPr>
          <w:rFonts w:ascii="Sylfaen" w:hAnsi="Sylfaen" w:cs="Arial"/>
          <w:lang w:val="ka-GE" w:eastAsia="ru-RU"/>
        </w:rPr>
      </w:pPr>
      <w:r>
        <w:rPr>
          <w:rFonts w:ascii="Sylfaen" w:hAnsi="Sylfaen" w:cs="Arial"/>
          <w:lang w:val="ka-GE" w:eastAsia="ru-RU"/>
        </w:rPr>
        <w:t xml:space="preserve">მოცემულ პერიოდში ფასების 13,1 პროცენტიანი ზრდა დაფიქსირდა </w:t>
      </w:r>
      <w:r w:rsidRPr="0024086E">
        <w:rPr>
          <w:rFonts w:ascii="Sylfaen" w:hAnsi="Sylfaen" w:cs="Arial"/>
          <w:b/>
          <w:lang w:val="ka-GE" w:eastAsia="ru-RU"/>
        </w:rPr>
        <w:t>ალკოჰოლური სასმელების და თამბაქოს</w:t>
      </w:r>
      <w:r>
        <w:rPr>
          <w:rFonts w:ascii="Sylfaen" w:hAnsi="Sylfaen" w:cs="Arial"/>
          <w:lang w:val="ka-GE" w:eastAsia="ru-RU"/>
        </w:rPr>
        <w:t xml:space="preserve"> ჯგუფზე, რაც 0,80 პროცენტული პუნქტით აისახა წლიური ინფლაციის მთლიან მაჩვენებელზე. ფასები მკვეთრად გაიზარდა თამბაქოს ნაწარმის ქვეჯგუფზე (23,2 პროცენტი). ფასების მატება დაფიქსირდა ასევე ალკოჰოლური სასმელების ქვეჯგუფებზე (4,6 პროცენტი);</w:t>
      </w:r>
    </w:p>
    <w:p w:rsidR="000156B1" w:rsidRDefault="000156B1" w:rsidP="007F668F">
      <w:pPr>
        <w:spacing w:before="100" w:beforeAutospacing="1" w:after="100" w:afterAutospacing="1" w:line="312" w:lineRule="auto"/>
        <w:ind w:left="-567"/>
        <w:jc w:val="both"/>
        <w:rPr>
          <w:rFonts w:ascii="Sylfaen" w:hAnsi="Sylfaen" w:cs="Arial"/>
          <w:lang w:val="ka-GE" w:eastAsia="ru-RU"/>
        </w:rPr>
      </w:pPr>
      <w:r w:rsidRPr="00E40249">
        <w:rPr>
          <w:rFonts w:ascii="Sylfaen" w:hAnsi="Sylfaen" w:cs="Arial"/>
          <w:b/>
          <w:lang w:val="ka-GE" w:eastAsia="ru-RU"/>
        </w:rPr>
        <w:t>სურსათი და უალკოჰოლო სასმელები:</w:t>
      </w:r>
      <w:r>
        <w:rPr>
          <w:rFonts w:ascii="Sylfaen" w:hAnsi="Sylfaen" w:cs="Arial"/>
          <w:lang w:val="ka-GE" w:eastAsia="ru-RU"/>
        </w:rPr>
        <w:t xml:space="preserve"> ფასები გაიზარდა 1,6 პროცენტით და ჯგუფმა 0,51 პროცენტული პუნქტი შეიტანა ინფლაციის მთლიან მაჩვენებელში. ფასების მნიშვნელოვანი ზრდა დაფიქსირდა ქვეჯგუფზე - შაქარი, ჯემი, თაფლი, </w:t>
      </w:r>
      <w:r w:rsidRPr="00E40249">
        <w:rPr>
          <w:rFonts w:ascii="Sylfaen" w:hAnsi="Sylfaen" w:cs="Arial"/>
          <w:lang w:val="ka-GE" w:eastAsia="ru-RU"/>
        </w:rPr>
        <w:t>შოკოლადი, საკონდიტრო ნაწარმი</w:t>
      </w:r>
      <w:r>
        <w:rPr>
          <w:rFonts w:ascii="Sylfaen" w:hAnsi="Sylfaen" w:cs="Arial"/>
          <w:lang w:val="ka-GE" w:eastAsia="ru-RU"/>
        </w:rPr>
        <w:t xml:space="preserve"> (16,3 პროცენტი);</w:t>
      </w:r>
    </w:p>
    <w:p w:rsidR="000156B1" w:rsidRDefault="000156B1" w:rsidP="007F668F">
      <w:pPr>
        <w:spacing w:before="100" w:beforeAutospacing="1" w:after="100" w:afterAutospacing="1" w:line="312" w:lineRule="auto"/>
        <w:ind w:left="-567"/>
        <w:jc w:val="both"/>
        <w:rPr>
          <w:rFonts w:ascii="Sylfaen" w:hAnsi="Sylfaen" w:cs="Arial"/>
          <w:lang w:val="ka-GE" w:eastAsia="ru-RU"/>
        </w:rPr>
      </w:pPr>
      <w:r w:rsidRPr="00703BA8">
        <w:rPr>
          <w:rFonts w:ascii="Sylfaen" w:hAnsi="Sylfaen" w:cs="Arial"/>
          <w:b/>
          <w:lang w:val="ka-GE" w:eastAsia="ru-RU"/>
        </w:rPr>
        <w:lastRenderedPageBreak/>
        <w:t>ტრანსპორტი</w:t>
      </w:r>
      <w:r>
        <w:rPr>
          <w:rFonts w:ascii="Sylfaen" w:hAnsi="Sylfaen" w:cs="Arial"/>
          <w:lang w:val="ka-GE" w:eastAsia="ru-RU"/>
        </w:rPr>
        <w:t xml:space="preserve">: ჯგუფში ფასები გაიზარდა 2,2 პროცენტით. შესაბამისად, ჯგუფის წვლილმა  ინფლაციის მთლიან მაჩვენებელში 0,26 პროცენტული პუნქტი შეადგინა. ფასების მატება დაფიქსირდა </w:t>
      </w:r>
      <w:r w:rsidRPr="00703BA8">
        <w:rPr>
          <w:rFonts w:ascii="Sylfaen" w:hAnsi="Sylfaen" w:cs="Arial"/>
          <w:lang w:val="ka-GE" w:eastAsia="ru-RU"/>
        </w:rPr>
        <w:t xml:space="preserve">პირადი </w:t>
      </w:r>
      <w:r>
        <w:rPr>
          <w:rFonts w:ascii="Sylfaen" w:hAnsi="Sylfaen" w:cs="Arial"/>
          <w:lang w:val="ka-GE" w:eastAsia="ru-RU"/>
        </w:rPr>
        <w:t>სატრანსპორტო საშუალებების ექსპლუ</w:t>
      </w:r>
      <w:r w:rsidRPr="00703BA8">
        <w:rPr>
          <w:rFonts w:ascii="Sylfaen" w:hAnsi="Sylfaen" w:cs="Arial"/>
          <w:lang w:val="ka-GE" w:eastAsia="ru-RU"/>
        </w:rPr>
        <w:t>ატაცია</w:t>
      </w:r>
      <w:r>
        <w:rPr>
          <w:rFonts w:ascii="Sylfaen" w:hAnsi="Sylfaen" w:cs="Arial"/>
          <w:lang w:val="ka-GE" w:eastAsia="ru-RU"/>
        </w:rPr>
        <w:t>ზე (3,7 პროცენტი);</w:t>
      </w:r>
    </w:p>
    <w:p w:rsidR="000156B1" w:rsidRDefault="000156B1" w:rsidP="007F668F">
      <w:pPr>
        <w:spacing w:before="100" w:beforeAutospacing="1" w:after="100" w:afterAutospacing="1" w:line="312" w:lineRule="auto"/>
        <w:ind w:left="-567"/>
        <w:jc w:val="both"/>
        <w:rPr>
          <w:rFonts w:ascii="Sylfaen" w:hAnsi="Sylfaen" w:cs="Arial"/>
          <w:lang w:val="ka-GE" w:eastAsia="ru-RU"/>
        </w:rPr>
      </w:pPr>
      <w:r>
        <w:rPr>
          <w:rFonts w:ascii="Sylfaen" w:hAnsi="Sylfaen" w:cs="Arial"/>
          <w:lang w:val="ka-GE" w:eastAsia="ru-RU"/>
        </w:rPr>
        <w:t xml:space="preserve">ფასები </w:t>
      </w:r>
      <w:r w:rsidRPr="00801C36">
        <w:rPr>
          <w:rFonts w:ascii="Sylfaen" w:hAnsi="Sylfaen" w:cs="Arial"/>
          <w:b/>
          <w:lang w:val="ka-GE" w:eastAsia="ru-RU"/>
        </w:rPr>
        <w:t>ტანსაცმლისა და ფეხსაცმლის</w:t>
      </w:r>
      <w:r>
        <w:rPr>
          <w:rFonts w:ascii="Sylfaen" w:hAnsi="Sylfaen" w:cs="Arial"/>
          <w:lang w:val="ka-GE" w:eastAsia="ru-RU"/>
        </w:rPr>
        <w:t xml:space="preserve"> ჯგუფზე შემცირდა 5,7 პროცენტით, რამაც წლიური ინფლაციის მაჩვენებელზე -0,19 პროცენტული პუნქტით იქონია გავლენა. ჯგუფში ფასების კლება დაფიქსირდა როგორც ტანსაცმლის (-5,2 პროცენტი), ისე ფეხსაცმლის (-7,1 პროცენტი) ქვეჯგუფებზე.</w:t>
      </w:r>
    </w:p>
    <w:p w:rsidR="00CD3934" w:rsidRPr="00CD3934" w:rsidRDefault="00CD3934" w:rsidP="00CD3934">
      <w:pPr>
        <w:spacing w:before="240" w:after="0" w:line="288" w:lineRule="auto"/>
        <w:ind w:left="-540" w:firstLine="720"/>
        <w:jc w:val="both"/>
        <w:rPr>
          <w:rFonts w:ascii="Sylfaen" w:eastAsia="Times New Roman" w:hAnsi="Sylfaen" w:cs="Arial"/>
          <w:lang w:eastAsia="ru-RU"/>
        </w:rPr>
      </w:pPr>
    </w:p>
    <w:p w:rsidR="00406F86" w:rsidRPr="00AA041B" w:rsidRDefault="000156B1" w:rsidP="00406F86">
      <w:pPr>
        <w:spacing w:after="0" w:line="240" w:lineRule="auto"/>
        <w:jc w:val="center"/>
        <w:rPr>
          <w:rFonts w:ascii="Sylfaen" w:eastAsia="Times New Roman" w:hAnsi="Sylfaen" w:cs="Sylfaen"/>
          <w:b/>
          <w:noProof/>
          <w:color w:val="FF0000"/>
          <w:sz w:val="26"/>
          <w:szCs w:val="26"/>
          <w:lang w:val="ka-GE"/>
        </w:rPr>
      </w:pPr>
      <w:r>
        <w:rPr>
          <w:noProof/>
        </w:rPr>
        <w:drawing>
          <wp:inline distT="0" distB="0" distL="0" distR="0">
            <wp:extent cx="5947576" cy="3291840"/>
            <wp:effectExtent l="0" t="0" r="0" b="0"/>
            <wp:docPr id="12"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06F86" w:rsidRPr="00AA041B">
        <w:rPr>
          <w:rFonts w:ascii="Sylfaen" w:hAnsi="Sylfaen" w:cs="Sylfaen"/>
          <w:b/>
          <w:noProof/>
          <w:color w:val="FF0000"/>
          <w:szCs w:val="26"/>
          <w:lang w:val="ka-GE"/>
        </w:rPr>
        <w:br w:type="page"/>
      </w:r>
    </w:p>
    <w:p w:rsidR="00E87496" w:rsidRDefault="00E87496" w:rsidP="00E87496">
      <w:pPr>
        <w:pStyle w:val="Heading1"/>
        <w:spacing w:line="360" w:lineRule="auto"/>
        <w:ind w:firstLine="0"/>
        <w:jc w:val="center"/>
        <w:rPr>
          <w:rFonts w:ascii="Sylfaen" w:hAnsi="Sylfaen" w:cs="Sylfaen"/>
          <w:b/>
          <w:noProof/>
          <w:color w:val="000000"/>
          <w:szCs w:val="26"/>
        </w:rPr>
      </w:pPr>
      <w:r>
        <w:rPr>
          <w:rFonts w:ascii="Sylfaen" w:hAnsi="Sylfaen" w:cs="Sylfaen"/>
          <w:b/>
          <w:noProof/>
          <w:color w:val="000000"/>
          <w:szCs w:val="26"/>
          <w:lang w:val="ka-GE"/>
        </w:rPr>
        <w:lastRenderedPageBreak/>
        <w:t>პირდაპირი უცხოური ინვესტიციები</w:t>
      </w:r>
    </w:p>
    <w:p w:rsidR="00E87496" w:rsidRDefault="00E87496" w:rsidP="00E87496">
      <w:pPr>
        <w:spacing w:after="0" w:line="240" w:lineRule="auto"/>
        <w:jc w:val="center"/>
        <w:rPr>
          <w:rFonts w:ascii="Sylfaen" w:hAnsi="Sylfaen"/>
          <w:bCs/>
        </w:rPr>
      </w:pPr>
      <w:r>
        <w:rPr>
          <w:rFonts w:ascii="Sylfaen" w:hAnsi="Sylfaen"/>
          <w:bCs/>
          <w:lang w:val="ka-GE"/>
        </w:rPr>
        <w:t>201</w:t>
      </w:r>
      <w:r w:rsidR="00237E37">
        <w:rPr>
          <w:rFonts w:ascii="Sylfaen" w:hAnsi="Sylfaen"/>
          <w:bCs/>
        </w:rPr>
        <w:t>6</w:t>
      </w:r>
      <w:r w:rsidRPr="00D90F26">
        <w:rPr>
          <w:rFonts w:ascii="Sylfaen" w:hAnsi="Sylfaen"/>
          <w:bCs/>
          <w:lang w:val="ka-GE"/>
        </w:rPr>
        <w:t xml:space="preserve"> წლის წლიური</w:t>
      </w:r>
    </w:p>
    <w:p w:rsidR="00237E37" w:rsidRPr="00237E37" w:rsidRDefault="00237E37" w:rsidP="00E87496">
      <w:pPr>
        <w:spacing w:after="0" w:line="240" w:lineRule="auto"/>
        <w:jc w:val="center"/>
        <w:rPr>
          <w:rFonts w:ascii="Sylfaen" w:hAnsi="Sylfaen"/>
          <w:bCs/>
        </w:rPr>
      </w:pPr>
    </w:p>
    <w:p w:rsidR="00237E37" w:rsidRPr="00D31352" w:rsidRDefault="00237E37" w:rsidP="007F668F">
      <w:pPr>
        <w:spacing w:after="0" w:line="312" w:lineRule="auto"/>
        <w:ind w:left="-567"/>
        <w:jc w:val="both"/>
        <w:rPr>
          <w:rFonts w:ascii="Sylfaen" w:hAnsi="Sylfaen"/>
          <w:lang w:val="ka-GE"/>
        </w:rPr>
      </w:pPr>
      <w:r>
        <w:rPr>
          <w:rFonts w:ascii="Sylfaen" w:hAnsi="Sylfaen" w:cs="Sylfaen"/>
          <w:noProof/>
          <w:lang w:val="ka-GE"/>
        </w:rPr>
        <w:t xml:space="preserve">წინასწარი </w:t>
      </w:r>
      <w:r w:rsidRPr="00870767">
        <w:rPr>
          <w:rFonts w:ascii="Sylfaen" w:hAnsi="Sylfaen" w:cs="Sylfaen"/>
          <w:noProof/>
          <w:lang w:val="ka-GE"/>
        </w:rPr>
        <w:t>მონაცემებით</w:t>
      </w:r>
      <w:r>
        <w:rPr>
          <w:rFonts w:ascii="Sylfaen" w:hAnsi="Sylfaen" w:cs="Sylfaen"/>
          <w:noProof/>
          <w:lang w:val="ka-GE"/>
        </w:rPr>
        <w:t xml:space="preserve">, </w:t>
      </w:r>
      <w:r w:rsidRPr="00A15913">
        <w:rPr>
          <w:rFonts w:ascii="Sylfaen" w:hAnsi="Sylfaen"/>
          <w:lang w:val="ka-GE"/>
        </w:rPr>
        <w:t>საქართველოში განხორციელებული პირდაპირი</w:t>
      </w:r>
      <w:r>
        <w:rPr>
          <w:rFonts w:ascii="Sylfaen" w:hAnsi="Sylfaen"/>
        </w:rPr>
        <w:t xml:space="preserve"> </w:t>
      </w:r>
      <w:r w:rsidRPr="00A15913">
        <w:rPr>
          <w:rFonts w:ascii="Sylfaen" w:hAnsi="Sylfaen"/>
          <w:lang w:val="ka-GE"/>
        </w:rPr>
        <w:t xml:space="preserve">უცხოური ინვესტიციების მოცულობამ </w:t>
      </w:r>
      <w:r>
        <w:rPr>
          <w:rFonts w:ascii="Sylfaen" w:hAnsi="Sylfaen"/>
          <w:lang w:val="ka-GE"/>
        </w:rPr>
        <w:t>201</w:t>
      </w:r>
      <w:r>
        <w:rPr>
          <w:rFonts w:ascii="Sylfaen" w:hAnsi="Sylfaen"/>
        </w:rPr>
        <w:t>6</w:t>
      </w:r>
      <w:r w:rsidRPr="00A15913">
        <w:rPr>
          <w:rFonts w:ascii="Sylfaen" w:hAnsi="Sylfaen"/>
          <w:lang w:val="ka-GE"/>
        </w:rPr>
        <w:t xml:space="preserve"> წ</w:t>
      </w:r>
      <w:r>
        <w:rPr>
          <w:rFonts w:ascii="Sylfaen" w:hAnsi="Sylfaen"/>
          <w:lang w:val="ka-GE"/>
        </w:rPr>
        <w:t>ე</w:t>
      </w:r>
      <w:r w:rsidRPr="00A15913">
        <w:rPr>
          <w:rFonts w:ascii="Sylfaen" w:hAnsi="Sylfaen"/>
          <w:lang w:val="ka-GE"/>
        </w:rPr>
        <w:t>ლს</w:t>
      </w:r>
      <w:r>
        <w:rPr>
          <w:rFonts w:ascii="Sylfaen" w:hAnsi="Sylfaen"/>
        </w:rPr>
        <w:t xml:space="preserve"> 1645</w:t>
      </w:r>
      <w:r w:rsidRPr="00A15913">
        <w:rPr>
          <w:rFonts w:ascii="Sylfaen" w:hAnsi="Sylfaen"/>
          <w:lang w:val="ka-GE"/>
        </w:rPr>
        <w:t xml:space="preserve"> მლნ. აშშ დოლარი შეადგინა</w:t>
      </w:r>
      <w:r>
        <w:rPr>
          <w:rFonts w:ascii="Sylfaen" w:hAnsi="Sylfaen"/>
          <w:lang w:val="ka-GE"/>
        </w:rPr>
        <w:t xml:space="preserve">, რაც </w:t>
      </w:r>
      <w:r>
        <w:rPr>
          <w:rFonts w:ascii="Sylfaen" w:hAnsi="Sylfaen"/>
        </w:rPr>
        <w:t>22</w:t>
      </w:r>
      <w:r>
        <w:rPr>
          <w:rFonts w:ascii="Sylfaen" w:hAnsi="Sylfaen"/>
          <w:lang w:val="ka-GE"/>
        </w:rPr>
        <w:t xml:space="preserve"> პროცენტით აღემატება</w:t>
      </w:r>
      <w:r>
        <w:rPr>
          <w:rFonts w:ascii="Sylfaen" w:hAnsi="Sylfaen"/>
        </w:rPr>
        <w:t xml:space="preserve"> </w:t>
      </w:r>
      <w:r>
        <w:rPr>
          <w:rFonts w:ascii="Sylfaen" w:hAnsi="Sylfaen"/>
          <w:lang w:val="ka-GE"/>
        </w:rPr>
        <w:t>201</w:t>
      </w:r>
      <w:r>
        <w:rPr>
          <w:rFonts w:ascii="Sylfaen" w:hAnsi="Sylfaen"/>
        </w:rPr>
        <w:t>5</w:t>
      </w:r>
      <w:r>
        <w:rPr>
          <w:rFonts w:ascii="Sylfaen" w:hAnsi="Sylfaen"/>
          <w:lang w:val="ka-GE"/>
        </w:rPr>
        <w:t xml:space="preserve"> წლის წინასწარ და </w:t>
      </w:r>
      <w:r>
        <w:rPr>
          <w:rFonts w:ascii="Sylfaen" w:hAnsi="Sylfaen"/>
        </w:rPr>
        <w:t>5</w:t>
      </w:r>
      <w:r>
        <w:rPr>
          <w:rFonts w:ascii="Sylfaen" w:hAnsi="Sylfaen"/>
          <w:lang w:val="ka-GE"/>
        </w:rPr>
        <w:t xml:space="preserve"> პროცენტით ამავე წლის დაზუსტებულ მონაცემებს.</w:t>
      </w:r>
    </w:p>
    <w:p w:rsidR="00237E37" w:rsidRDefault="00237E37" w:rsidP="007F668F">
      <w:pPr>
        <w:spacing w:after="0" w:line="312" w:lineRule="auto"/>
        <w:ind w:left="-567"/>
        <w:jc w:val="both"/>
        <w:rPr>
          <w:rFonts w:ascii="Sylfaen" w:hAnsi="Sylfaen"/>
        </w:rPr>
      </w:pPr>
      <w:r>
        <w:rPr>
          <w:rFonts w:ascii="Sylfaen" w:hAnsi="Sylfaen"/>
          <w:lang w:val="ka-GE"/>
        </w:rPr>
        <w:t xml:space="preserve">ქვემოთ მოცემული დიაგრამა ასახავს საქართველოში განხორციელებული პირდაპირი უცხოური ინვესტიციების </w:t>
      </w:r>
      <w:r w:rsidRPr="00246B5E">
        <w:rPr>
          <w:rFonts w:ascii="Sylfaen" w:hAnsi="Sylfaen"/>
          <w:lang w:val="ka-GE"/>
        </w:rPr>
        <w:t>დინამიკას</w:t>
      </w:r>
      <w:r>
        <w:rPr>
          <w:rFonts w:ascii="Sylfaen" w:hAnsi="Sylfaen"/>
          <w:lang w:val="ka-GE"/>
        </w:rPr>
        <w:t xml:space="preserve"> 201</w:t>
      </w:r>
      <w:r>
        <w:rPr>
          <w:rFonts w:ascii="Sylfaen" w:hAnsi="Sylfaen"/>
        </w:rPr>
        <w:t>2</w:t>
      </w:r>
      <w:r w:rsidRPr="00246B5E">
        <w:rPr>
          <w:rFonts w:ascii="Sylfaen" w:hAnsi="Sylfaen"/>
          <w:lang w:val="ka-GE"/>
        </w:rPr>
        <w:t>-</w:t>
      </w:r>
      <w:r>
        <w:rPr>
          <w:rFonts w:ascii="Sylfaen" w:hAnsi="Sylfaen"/>
          <w:lang w:val="ka-GE"/>
        </w:rPr>
        <w:t>201</w:t>
      </w:r>
      <w:r>
        <w:rPr>
          <w:rFonts w:ascii="Sylfaen" w:hAnsi="Sylfaen"/>
        </w:rPr>
        <w:t>6</w:t>
      </w:r>
      <w:r w:rsidRPr="00246B5E">
        <w:rPr>
          <w:rFonts w:ascii="Sylfaen" w:hAnsi="Sylfaen"/>
          <w:lang w:val="ka-GE"/>
        </w:rPr>
        <w:t xml:space="preserve"> წლებში.</w:t>
      </w:r>
    </w:p>
    <w:p w:rsidR="00237E37" w:rsidRDefault="00237E37" w:rsidP="00237E37">
      <w:pPr>
        <w:spacing w:after="0" w:line="360" w:lineRule="auto"/>
        <w:ind w:left="-567"/>
        <w:jc w:val="both"/>
        <w:rPr>
          <w:rFonts w:ascii="Sylfaen" w:hAnsi="Sylfaen"/>
        </w:rPr>
      </w:pPr>
    </w:p>
    <w:p w:rsidR="007819D8" w:rsidRPr="00237E37" w:rsidRDefault="007819D8" w:rsidP="00237E37">
      <w:pPr>
        <w:spacing w:after="0" w:line="360" w:lineRule="auto"/>
        <w:ind w:left="-567" w:firstLine="1287"/>
        <w:jc w:val="both"/>
        <w:rPr>
          <w:rFonts w:ascii="Sylfaen" w:hAnsi="Sylfaen"/>
        </w:rPr>
      </w:pPr>
      <w:r w:rsidRPr="00E87496">
        <w:rPr>
          <w:rFonts w:ascii="Sylfaen" w:hAnsi="Sylfaen" w:cs="Arial"/>
          <w:b/>
          <w:sz w:val="20"/>
          <w:szCs w:val="20"/>
          <w:lang w:val="ka-GE"/>
        </w:rPr>
        <w:t xml:space="preserve">დიაგრამა </w:t>
      </w:r>
      <w:r w:rsidRPr="00E87496">
        <w:rPr>
          <w:rFonts w:ascii="AcadNusx" w:hAnsi="AcadNusx" w:cs="Arial"/>
          <w:b/>
          <w:sz w:val="20"/>
          <w:szCs w:val="20"/>
          <w:lang w:val="ka-GE"/>
        </w:rPr>
        <w:t>#</w:t>
      </w:r>
      <w:r w:rsidRPr="00E87496">
        <w:rPr>
          <w:rFonts w:ascii="AcadNusx" w:hAnsi="AcadNusx" w:cs="Arial"/>
          <w:b/>
          <w:sz w:val="20"/>
          <w:szCs w:val="20"/>
        </w:rPr>
        <w:t>1</w:t>
      </w:r>
      <w:r w:rsidRPr="00E87496">
        <w:rPr>
          <w:rFonts w:ascii="Sylfaen" w:hAnsi="Sylfaen" w:cs="Arial"/>
          <w:b/>
          <w:sz w:val="20"/>
          <w:szCs w:val="20"/>
          <w:lang w:val="ka-GE"/>
        </w:rPr>
        <w:t>.</w:t>
      </w:r>
    </w:p>
    <w:p w:rsidR="007819D8" w:rsidRPr="00AA041B" w:rsidRDefault="00237E37" w:rsidP="00237E37">
      <w:pPr>
        <w:tabs>
          <w:tab w:val="left" w:pos="8647"/>
        </w:tabs>
        <w:spacing w:after="0" w:line="360" w:lineRule="auto"/>
        <w:ind w:left="-567"/>
        <w:rPr>
          <w:rFonts w:ascii="Sylfaen" w:hAnsi="Sylfaen" w:cs="Arial"/>
          <w:b/>
          <w:color w:val="FF0000"/>
          <w:sz w:val="20"/>
          <w:szCs w:val="20"/>
          <w:lang w:val="ka-GE"/>
        </w:rPr>
      </w:pPr>
      <w:r w:rsidRPr="00237E37">
        <w:rPr>
          <w:rFonts w:ascii="Sylfaen" w:hAnsi="Sylfaen" w:cs="Arial"/>
          <w:b/>
          <w:noProof/>
          <w:color w:val="FF0000"/>
          <w:sz w:val="20"/>
          <w:szCs w:val="20"/>
        </w:rPr>
        <w:drawing>
          <wp:inline distT="0" distB="0" distL="0" distR="0">
            <wp:extent cx="5796501" cy="3713259"/>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19D8" w:rsidRPr="00E87496" w:rsidRDefault="007819D8" w:rsidP="00AE3AF6">
      <w:pPr>
        <w:tabs>
          <w:tab w:val="left" w:pos="8647"/>
        </w:tabs>
        <w:spacing w:after="0" w:line="360" w:lineRule="auto"/>
        <w:ind w:left="90"/>
        <w:rPr>
          <w:rFonts w:ascii="Sylfaen" w:hAnsi="Sylfaen" w:cs="Arial"/>
          <w:sz w:val="18"/>
          <w:szCs w:val="18"/>
        </w:rPr>
      </w:pPr>
      <w:r w:rsidRPr="00AA041B">
        <w:rPr>
          <w:rFonts w:ascii="Sylfaen" w:hAnsi="Sylfaen" w:cs="Arial"/>
          <w:color w:val="FF0000"/>
          <w:sz w:val="20"/>
          <w:szCs w:val="20"/>
          <w:lang w:val="ka-GE"/>
        </w:rPr>
        <w:t xml:space="preserve"> </w:t>
      </w:r>
      <w:r w:rsidRPr="00E87496">
        <w:rPr>
          <w:rFonts w:ascii="Sylfaen" w:hAnsi="Sylfaen" w:cs="Arial"/>
          <w:sz w:val="18"/>
          <w:szCs w:val="18"/>
          <w:lang w:val="ka-GE"/>
        </w:rPr>
        <w:t>*წინასწარი მონაცემები.</w:t>
      </w:r>
    </w:p>
    <w:p w:rsidR="00C94AB9" w:rsidRPr="00AA041B" w:rsidRDefault="00C94AB9">
      <w:pPr>
        <w:rPr>
          <w:rFonts w:ascii="Sylfaen" w:hAnsi="Sylfaen"/>
          <w:color w:val="FF0000"/>
        </w:rPr>
      </w:pPr>
    </w:p>
    <w:p w:rsidR="00E02EA4" w:rsidRDefault="00E02EA4">
      <w:pPr>
        <w:rPr>
          <w:rFonts w:ascii="Sylfaen" w:hAnsi="Sylfaen"/>
          <w:lang w:val="ka-GE"/>
        </w:rPr>
      </w:pPr>
      <w:r>
        <w:rPr>
          <w:rFonts w:ascii="Sylfaen" w:hAnsi="Sylfaen"/>
          <w:lang w:val="ka-GE"/>
        </w:rPr>
        <w:br w:type="page"/>
      </w:r>
    </w:p>
    <w:p w:rsidR="00237E37" w:rsidRDefault="00237E37" w:rsidP="007F668F">
      <w:pPr>
        <w:spacing w:after="0" w:line="312" w:lineRule="auto"/>
        <w:ind w:left="-567"/>
        <w:jc w:val="both"/>
        <w:rPr>
          <w:rFonts w:ascii="Sylfaen" w:hAnsi="Sylfaen"/>
        </w:rPr>
      </w:pPr>
      <w:r>
        <w:rPr>
          <w:rFonts w:ascii="Sylfaen" w:hAnsi="Sylfaen"/>
          <w:lang w:val="ka-GE"/>
        </w:rPr>
        <w:lastRenderedPageBreak/>
        <w:t>ამავე პერიოდში რეინვესტიციის ოდენობამ მთლიანი პირდაპირი უცხოური ინვესტიციების 3</w:t>
      </w:r>
      <w:r>
        <w:rPr>
          <w:rFonts w:ascii="Sylfaen" w:hAnsi="Sylfaen"/>
        </w:rPr>
        <w:t>2</w:t>
      </w:r>
      <w:r>
        <w:rPr>
          <w:rFonts w:ascii="Sylfaen" w:hAnsi="Sylfaen"/>
          <w:lang w:val="ka-GE"/>
        </w:rPr>
        <w:t xml:space="preserve"> პროცენტი შეადგინა. </w:t>
      </w:r>
    </w:p>
    <w:p w:rsidR="00237E37" w:rsidRDefault="00237E37" w:rsidP="007F668F">
      <w:pPr>
        <w:spacing w:after="0" w:line="312" w:lineRule="auto"/>
        <w:ind w:left="-567"/>
        <w:jc w:val="both"/>
        <w:rPr>
          <w:rFonts w:ascii="Sylfaen" w:hAnsi="Sylfaen"/>
        </w:rPr>
      </w:pPr>
    </w:p>
    <w:p w:rsidR="00F746FE" w:rsidRPr="00237E37" w:rsidRDefault="00F746FE" w:rsidP="007F668F">
      <w:pPr>
        <w:spacing w:after="0" w:line="312" w:lineRule="auto"/>
        <w:ind w:left="-567" w:firstLine="567"/>
        <w:jc w:val="both"/>
        <w:rPr>
          <w:rFonts w:ascii="Sylfaen" w:hAnsi="Sylfaen"/>
        </w:rPr>
      </w:pPr>
      <w:r w:rsidRPr="00E02EA4">
        <w:rPr>
          <w:rFonts w:ascii="Sylfaen" w:hAnsi="Sylfaen" w:cs="Arial"/>
          <w:b/>
          <w:sz w:val="20"/>
          <w:szCs w:val="20"/>
          <w:lang w:val="ka-GE"/>
        </w:rPr>
        <w:t xml:space="preserve">დიაგრამა </w:t>
      </w:r>
      <w:r w:rsidRPr="00E02EA4">
        <w:rPr>
          <w:rFonts w:ascii="AcadNusx" w:hAnsi="AcadNusx" w:cs="Arial"/>
          <w:b/>
          <w:sz w:val="20"/>
          <w:szCs w:val="20"/>
          <w:lang w:val="ka-GE"/>
        </w:rPr>
        <w:t>#</w:t>
      </w:r>
      <w:r w:rsidRPr="00E02EA4">
        <w:rPr>
          <w:rFonts w:ascii="Sylfaen" w:hAnsi="Sylfaen" w:cs="Arial"/>
          <w:b/>
          <w:sz w:val="20"/>
          <w:szCs w:val="20"/>
        </w:rPr>
        <w:t>2</w:t>
      </w:r>
      <w:r w:rsidRPr="00E02EA4">
        <w:rPr>
          <w:rFonts w:ascii="Sylfaen" w:hAnsi="Sylfaen" w:cs="Arial"/>
          <w:b/>
          <w:sz w:val="20"/>
          <w:szCs w:val="20"/>
          <w:lang w:val="ka-GE"/>
        </w:rPr>
        <w:t>.</w:t>
      </w:r>
    </w:p>
    <w:p w:rsidR="00F746FE" w:rsidRPr="00AA041B" w:rsidRDefault="00237E37" w:rsidP="007F668F">
      <w:pPr>
        <w:spacing w:after="0" w:line="312" w:lineRule="auto"/>
        <w:jc w:val="both"/>
        <w:rPr>
          <w:rFonts w:ascii="Sylfaen" w:hAnsi="Sylfaen"/>
          <w:color w:val="FF0000"/>
          <w:lang w:val="ka-GE"/>
        </w:rPr>
      </w:pPr>
      <w:r w:rsidRPr="00237E37">
        <w:rPr>
          <w:rFonts w:ascii="Sylfaen" w:hAnsi="Sylfaen"/>
          <w:noProof/>
          <w:color w:val="FF0000"/>
        </w:rPr>
        <w:drawing>
          <wp:inline distT="0" distB="0" distL="0" distR="0">
            <wp:extent cx="5715000" cy="3562106"/>
            <wp:effectExtent l="0" t="0" r="0"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46FE" w:rsidRPr="00E02EA4" w:rsidRDefault="00E02EA4" w:rsidP="007F668F">
      <w:pPr>
        <w:spacing w:after="0" w:line="312" w:lineRule="auto"/>
        <w:jc w:val="both"/>
        <w:rPr>
          <w:rFonts w:ascii="Sylfaen" w:hAnsi="Sylfaen" w:cs="Sylfaen"/>
          <w:bCs/>
          <w:sz w:val="18"/>
          <w:szCs w:val="18"/>
        </w:rPr>
      </w:pPr>
      <w:r>
        <w:rPr>
          <w:rFonts w:ascii="Sylfaen" w:hAnsi="Sylfaen" w:cs="Sylfaen"/>
          <w:bCs/>
          <w:color w:val="FF0000"/>
          <w:sz w:val="18"/>
          <w:szCs w:val="18"/>
        </w:rPr>
        <w:t xml:space="preserve">  </w:t>
      </w:r>
      <w:r w:rsidR="00F746FE" w:rsidRPr="00E02EA4">
        <w:rPr>
          <w:rFonts w:ascii="Sylfaen" w:hAnsi="Sylfaen" w:cs="Sylfaen"/>
          <w:bCs/>
          <w:sz w:val="18"/>
          <w:szCs w:val="18"/>
          <w:lang w:val="ka-GE"/>
        </w:rPr>
        <w:t>*წინასწარი მონაცემები.</w:t>
      </w:r>
    </w:p>
    <w:p w:rsidR="00271E94" w:rsidRDefault="00271E94" w:rsidP="007F668F">
      <w:pPr>
        <w:spacing w:after="0" w:line="312" w:lineRule="auto"/>
        <w:ind w:firstLine="720"/>
        <w:jc w:val="both"/>
        <w:rPr>
          <w:rFonts w:ascii="Sylfaen" w:hAnsi="Sylfaen"/>
        </w:rPr>
      </w:pPr>
    </w:p>
    <w:p w:rsidR="007E44B1" w:rsidRDefault="007E44B1" w:rsidP="007F668F">
      <w:pPr>
        <w:spacing w:before="120" w:line="312" w:lineRule="auto"/>
        <w:ind w:left="-567"/>
        <w:rPr>
          <w:rFonts w:ascii="Sylfaen" w:hAnsi="Sylfaen"/>
        </w:rPr>
      </w:pPr>
      <w:r>
        <w:rPr>
          <w:rFonts w:ascii="Sylfaen" w:hAnsi="Sylfaen"/>
          <w:lang w:val="ka-GE"/>
        </w:rPr>
        <w:t>201</w:t>
      </w:r>
      <w:r>
        <w:rPr>
          <w:rFonts w:ascii="Sylfaen" w:hAnsi="Sylfaen"/>
        </w:rPr>
        <w:t>6</w:t>
      </w:r>
      <w:r w:rsidRPr="001907FA">
        <w:rPr>
          <w:rFonts w:ascii="Sylfaen" w:hAnsi="Sylfaen"/>
          <w:lang w:val="ka-GE"/>
        </w:rPr>
        <w:t xml:space="preserve"> წ</w:t>
      </w:r>
      <w:r>
        <w:rPr>
          <w:rFonts w:ascii="Sylfaen" w:hAnsi="Sylfaen"/>
          <w:lang w:val="ka-GE"/>
        </w:rPr>
        <w:t>ე</w:t>
      </w:r>
      <w:r w:rsidRPr="001907FA">
        <w:rPr>
          <w:rFonts w:ascii="Sylfaen" w:hAnsi="Sylfaen"/>
          <w:lang w:val="ka-GE"/>
        </w:rPr>
        <w:t>ლს</w:t>
      </w:r>
      <w:r>
        <w:rPr>
          <w:rFonts w:ascii="Sylfaen" w:hAnsi="Sylfaen"/>
          <w:lang w:val="ka-GE"/>
        </w:rPr>
        <w:t xml:space="preserve"> საქართველოში განხორციელებული პირდაპირი უცხოური ინვესტიციების მიხედვით უმსხვილესი</w:t>
      </w:r>
      <w:r>
        <w:rPr>
          <w:rFonts w:ascii="Sylfaen" w:hAnsi="Sylfaen"/>
        </w:rPr>
        <w:t xml:space="preserve"> </w:t>
      </w:r>
      <w:r w:rsidRPr="001907FA">
        <w:rPr>
          <w:rFonts w:ascii="Sylfaen" w:hAnsi="Sylfaen"/>
          <w:lang w:val="ka-GE"/>
        </w:rPr>
        <w:t>ინვესტორი ქვეყნ</w:t>
      </w:r>
      <w:r>
        <w:rPr>
          <w:rFonts w:ascii="Sylfaen" w:hAnsi="Sylfaen"/>
          <w:lang w:val="ka-GE"/>
        </w:rPr>
        <w:t>ები</w:t>
      </w:r>
      <w:r w:rsidRPr="001907FA">
        <w:rPr>
          <w:rFonts w:ascii="Sylfaen" w:hAnsi="Sylfaen"/>
          <w:lang w:val="ka-GE"/>
        </w:rPr>
        <w:t xml:space="preserve"> ასე განაწილდა</w:t>
      </w:r>
    </w:p>
    <w:p w:rsidR="00C94AB9" w:rsidRDefault="00C94AB9" w:rsidP="007F668F">
      <w:pPr>
        <w:spacing w:before="120" w:line="312" w:lineRule="auto"/>
        <w:rPr>
          <w:rFonts w:ascii="Sylfaen" w:hAnsi="Sylfaen" w:cs="Arial"/>
          <w:b/>
          <w:sz w:val="20"/>
          <w:szCs w:val="20"/>
        </w:rPr>
      </w:pPr>
      <w:r w:rsidRPr="0031016B">
        <w:rPr>
          <w:rFonts w:ascii="Sylfaen" w:hAnsi="Sylfaen" w:cs="Arial"/>
          <w:b/>
          <w:sz w:val="20"/>
          <w:szCs w:val="20"/>
          <w:lang w:val="ka-GE"/>
        </w:rPr>
        <w:t xml:space="preserve">დიაგრამა </w:t>
      </w:r>
      <w:r w:rsidRPr="0031016B">
        <w:rPr>
          <w:rFonts w:ascii="AcadNusx" w:hAnsi="AcadNusx" w:cs="Arial"/>
          <w:b/>
          <w:sz w:val="20"/>
          <w:szCs w:val="20"/>
          <w:lang w:val="ka-GE"/>
        </w:rPr>
        <w:t>#</w:t>
      </w:r>
      <w:r w:rsidRPr="0031016B">
        <w:rPr>
          <w:rFonts w:ascii="AcadNusx" w:hAnsi="AcadNusx" w:cs="Arial"/>
          <w:b/>
          <w:sz w:val="20"/>
          <w:szCs w:val="20"/>
        </w:rPr>
        <w:t>3</w:t>
      </w:r>
      <w:r w:rsidRPr="0031016B">
        <w:rPr>
          <w:rFonts w:ascii="Sylfaen" w:hAnsi="Sylfaen" w:cs="Arial"/>
          <w:b/>
          <w:sz w:val="20"/>
          <w:szCs w:val="20"/>
          <w:lang w:val="ka-GE"/>
        </w:rPr>
        <w:t>.</w:t>
      </w:r>
    </w:p>
    <w:p w:rsidR="007E44B1" w:rsidRPr="007E44B1" w:rsidRDefault="007E44B1" w:rsidP="007F668F">
      <w:pPr>
        <w:spacing w:before="120" w:line="312" w:lineRule="auto"/>
        <w:rPr>
          <w:rFonts w:ascii="Sylfaen" w:hAnsi="Sylfaen"/>
        </w:rPr>
      </w:pPr>
      <w:r w:rsidRPr="007E44B1">
        <w:rPr>
          <w:rFonts w:ascii="Sylfaen" w:hAnsi="Sylfaen" w:cs="Arial"/>
          <w:b/>
          <w:noProof/>
          <w:sz w:val="20"/>
          <w:szCs w:val="20"/>
        </w:rPr>
        <w:drawing>
          <wp:inline distT="0" distB="0" distL="0" distR="0">
            <wp:extent cx="5715000" cy="2714817"/>
            <wp:effectExtent l="0" t="0" r="0" b="0"/>
            <wp:docPr id="1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4AB9" w:rsidRPr="0031016B" w:rsidRDefault="00C94AB9" w:rsidP="007F668F">
      <w:pPr>
        <w:spacing w:line="312" w:lineRule="auto"/>
        <w:rPr>
          <w:rFonts w:ascii="Sylfaen" w:eastAsia="Times New Roman" w:hAnsi="Sylfaen"/>
          <w:sz w:val="18"/>
          <w:szCs w:val="18"/>
        </w:rPr>
      </w:pPr>
      <w:r w:rsidRPr="0031016B">
        <w:rPr>
          <w:rFonts w:ascii="AcadNusx" w:eastAsia="Times New Roman" w:hAnsi="AcadNusx"/>
          <w:sz w:val="18"/>
          <w:szCs w:val="18"/>
        </w:rPr>
        <w:t xml:space="preserve">* </w:t>
      </w:r>
      <w:r w:rsidRPr="0031016B">
        <w:rPr>
          <w:rFonts w:ascii="Sylfaen" w:eastAsia="Times New Roman" w:hAnsi="Sylfaen"/>
          <w:sz w:val="18"/>
          <w:szCs w:val="18"/>
        </w:rPr>
        <w:t>წინასწარი</w:t>
      </w:r>
      <w:r w:rsidRPr="0031016B">
        <w:rPr>
          <w:rFonts w:ascii="AcadNusx" w:eastAsia="Times New Roman" w:hAnsi="AcadNusx"/>
          <w:sz w:val="18"/>
          <w:szCs w:val="18"/>
        </w:rPr>
        <w:t xml:space="preserve"> </w:t>
      </w:r>
      <w:r w:rsidRPr="0031016B">
        <w:rPr>
          <w:rFonts w:ascii="Sylfaen" w:eastAsia="Times New Roman" w:hAnsi="Sylfaen"/>
          <w:sz w:val="18"/>
          <w:szCs w:val="18"/>
        </w:rPr>
        <w:t>მონაცემები.</w:t>
      </w:r>
    </w:p>
    <w:p w:rsidR="00CB380C" w:rsidRDefault="00CB380C" w:rsidP="007F668F">
      <w:pPr>
        <w:spacing w:after="0" w:line="312" w:lineRule="auto"/>
        <w:ind w:left="-567"/>
        <w:jc w:val="both"/>
        <w:rPr>
          <w:rFonts w:ascii="Sylfaen" w:hAnsi="Sylfaen"/>
        </w:rPr>
      </w:pPr>
      <w:r>
        <w:rPr>
          <w:rFonts w:ascii="Sylfaen" w:hAnsi="Sylfaen"/>
          <w:lang w:val="ka-GE"/>
        </w:rPr>
        <w:lastRenderedPageBreak/>
        <w:t>სამი უმსხვილესი ინვესტორი ქვეყნის წილმა მთლიან პირდაპირ უცხოურ ინვესტიციებში,</w:t>
      </w:r>
      <w:r>
        <w:rPr>
          <w:rFonts w:ascii="Sylfaen" w:hAnsi="Sylfaen"/>
        </w:rPr>
        <w:t xml:space="preserve"> </w:t>
      </w:r>
      <w:r>
        <w:rPr>
          <w:rFonts w:ascii="Sylfaen" w:hAnsi="Sylfaen"/>
          <w:lang w:val="ka-GE"/>
        </w:rPr>
        <w:t>201</w:t>
      </w:r>
      <w:r>
        <w:rPr>
          <w:rFonts w:ascii="Sylfaen" w:hAnsi="Sylfaen"/>
        </w:rPr>
        <w:t>6</w:t>
      </w:r>
      <w:r>
        <w:rPr>
          <w:rFonts w:ascii="Sylfaen" w:hAnsi="Sylfaen"/>
          <w:lang w:val="ka-GE"/>
        </w:rPr>
        <w:t xml:space="preserve"> წლის წინასწარი მონაცემების მიხედვით,</w:t>
      </w:r>
      <w:r>
        <w:rPr>
          <w:rFonts w:ascii="Sylfaen" w:hAnsi="Sylfaen"/>
        </w:rPr>
        <w:t xml:space="preserve"> 59</w:t>
      </w:r>
      <w:r>
        <w:rPr>
          <w:rFonts w:ascii="Sylfaen" w:hAnsi="Sylfaen"/>
          <w:lang w:val="ka-GE"/>
        </w:rPr>
        <w:t xml:space="preserve"> პროცენტი შეადგინა. ქვეყნების </w:t>
      </w:r>
      <w:r w:rsidRPr="005033A4">
        <w:rPr>
          <w:rFonts w:ascii="Sylfaen" w:hAnsi="Sylfaen"/>
          <w:lang w:val="ka-GE"/>
        </w:rPr>
        <w:t>პროცენტულ</w:t>
      </w:r>
      <w:r>
        <w:rPr>
          <w:rFonts w:ascii="Sylfaen" w:hAnsi="Sylfaen"/>
          <w:lang w:val="ka-GE"/>
        </w:rPr>
        <w:t xml:space="preserve"> სტრუქტურას განხორციელებული პირდაპირი უცხოური ინვესტიციების მიხედვით</w:t>
      </w:r>
      <w:r>
        <w:rPr>
          <w:rFonts w:ascii="Sylfaen" w:hAnsi="Sylfaen"/>
        </w:rPr>
        <w:t xml:space="preserve"> </w:t>
      </w:r>
      <w:r>
        <w:rPr>
          <w:rFonts w:ascii="Sylfaen" w:hAnsi="Sylfaen"/>
          <w:lang w:val="ka-GE"/>
        </w:rPr>
        <w:t xml:space="preserve">გვიჩვენებს სექტორული დიაგრამა </w:t>
      </w:r>
      <w:r w:rsidRPr="00FE0096">
        <w:rPr>
          <w:rFonts w:ascii="AcadNusx" w:hAnsi="AcadNusx"/>
          <w:lang w:val="ka-GE"/>
        </w:rPr>
        <w:t>#</w:t>
      </w:r>
      <w:r>
        <w:rPr>
          <w:rFonts w:ascii="AcadNusx" w:hAnsi="AcadNusx"/>
        </w:rPr>
        <w:t>4</w:t>
      </w:r>
      <w:r>
        <w:rPr>
          <w:rFonts w:ascii="Sylfaen" w:hAnsi="Sylfaen"/>
        </w:rPr>
        <w:t>.</w:t>
      </w:r>
      <w:r>
        <w:rPr>
          <w:rFonts w:ascii="Sylfaen" w:hAnsi="Sylfaen"/>
          <w:lang w:val="ka-GE"/>
        </w:rPr>
        <w:t xml:space="preserve"> პირველ ადგილზე აზერბაიჯანი იმყოფება </w:t>
      </w:r>
      <w:r>
        <w:rPr>
          <w:rFonts w:ascii="Sylfaen" w:hAnsi="Sylfaen"/>
        </w:rPr>
        <w:t>35</w:t>
      </w:r>
      <w:r>
        <w:rPr>
          <w:rFonts w:ascii="Sylfaen" w:hAnsi="Sylfaen"/>
          <w:lang w:val="ka-GE"/>
        </w:rPr>
        <w:t xml:space="preserve"> პროცენტით, მეორეზე - თურქეთი</w:t>
      </w:r>
      <w:r>
        <w:rPr>
          <w:rFonts w:ascii="Sylfaen" w:hAnsi="Sylfaen"/>
        </w:rPr>
        <w:t xml:space="preserve"> </w:t>
      </w:r>
      <w:r>
        <w:rPr>
          <w:rFonts w:ascii="Sylfaen" w:hAnsi="Sylfaen"/>
          <w:lang w:val="ka-GE"/>
        </w:rPr>
        <w:t>17 პროცენტით, ხოლო მესამეზე - გაერთიანებული სამეფო</w:t>
      </w:r>
      <w:r>
        <w:rPr>
          <w:rFonts w:ascii="Sylfaen" w:hAnsi="Sylfaen"/>
        </w:rPr>
        <w:t xml:space="preserve"> </w:t>
      </w:r>
      <w:r>
        <w:rPr>
          <w:rFonts w:ascii="Sylfaen" w:hAnsi="Sylfaen"/>
          <w:lang w:val="ka-GE"/>
        </w:rPr>
        <w:t>7 პროცენტით.</w:t>
      </w:r>
    </w:p>
    <w:p w:rsidR="008D4B1D" w:rsidRPr="00CB380C" w:rsidRDefault="008D4B1D" w:rsidP="007F668F">
      <w:pPr>
        <w:spacing w:after="0" w:line="312" w:lineRule="auto"/>
        <w:ind w:left="-567" w:firstLine="567"/>
        <w:jc w:val="both"/>
        <w:rPr>
          <w:rFonts w:ascii="Sylfaen" w:hAnsi="Sylfaen"/>
          <w:lang w:val="ka-GE"/>
        </w:rPr>
      </w:pPr>
      <w:r w:rsidRPr="00263937">
        <w:rPr>
          <w:rFonts w:ascii="Sylfaen" w:hAnsi="Sylfaen" w:cs="Arial"/>
          <w:b/>
          <w:sz w:val="20"/>
          <w:szCs w:val="20"/>
          <w:lang w:val="ka-GE"/>
        </w:rPr>
        <w:t xml:space="preserve">დიაგრამა </w:t>
      </w:r>
      <w:r w:rsidRPr="00263937">
        <w:rPr>
          <w:rFonts w:ascii="AcadNusx" w:hAnsi="AcadNusx" w:cs="Arial"/>
          <w:b/>
          <w:sz w:val="20"/>
          <w:szCs w:val="20"/>
          <w:lang w:val="ka-GE"/>
        </w:rPr>
        <w:t>#</w:t>
      </w:r>
      <w:r w:rsidRPr="00263937">
        <w:rPr>
          <w:rFonts w:ascii="Sylfaen" w:hAnsi="Sylfaen" w:cs="Arial"/>
          <w:b/>
          <w:sz w:val="20"/>
          <w:szCs w:val="20"/>
        </w:rPr>
        <w:t>4</w:t>
      </w:r>
      <w:r w:rsidRPr="00263937">
        <w:rPr>
          <w:rFonts w:ascii="Sylfaen" w:hAnsi="Sylfaen" w:cs="Arial"/>
          <w:b/>
          <w:sz w:val="20"/>
          <w:szCs w:val="20"/>
          <w:lang w:val="ka-GE"/>
        </w:rPr>
        <w:t>.</w:t>
      </w:r>
    </w:p>
    <w:p w:rsidR="008D4B1D" w:rsidRPr="00AA041B" w:rsidRDefault="00CB380C" w:rsidP="007F668F">
      <w:pPr>
        <w:spacing w:line="312" w:lineRule="auto"/>
        <w:ind w:left="-284"/>
        <w:rPr>
          <w:rFonts w:ascii="Sylfaen" w:hAnsi="Sylfaen" w:cs="Arial"/>
          <w:b/>
          <w:color w:val="FF0000"/>
          <w:sz w:val="20"/>
          <w:szCs w:val="20"/>
          <w:lang w:val="ka-GE"/>
        </w:rPr>
      </w:pPr>
      <w:r w:rsidRPr="00CB380C">
        <w:rPr>
          <w:rFonts w:ascii="Sylfaen" w:hAnsi="Sylfaen" w:cs="Arial"/>
          <w:b/>
          <w:noProof/>
          <w:color w:val="FF0000"/>
          <w:sz w:val="20"/>
          <w:szCs w:val="20"/>
        </w:rPr>
        <w:drawing>
          <wp:inline distT="0" distB="0" distL="0" distR="0">
            <wp:extent cx="5216056" cy="3355450"/>
            <wp:effectExtent l="0" t="0" r="0"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4B1D" w:rsidRPr="00263937" w:rsidRDefault="008D4B1D" w:rsidP="007F668F">
      <w:pPr>
        <w:spacing w:line="312" w:lineRule="auto"/>
        <w:rPr>
          <w:rFonts w:ascii="Sylfaen" w:eastAsia="Times New Roman" w:hAnsi="Sylfaen"/>
          <w:sz w:val="18"/>
          <w:szCs w:val="18"/>
          <w:lang w:val="ka-GE"/>
        </w:rPr>
      </w:pPr>
      <w:r w:rsidRPr="00263937">
        <w:rPr>
          <w:rFonts w:ascii="AcadNusx" w:eastAsia="Times New Roman" w:hAnsi="AcadNusx"/>
          <w:sz w:val="18"/>
          <w:szCs w:val="18"/>
        </w:rPr>
        <w:t>*</w:t>
      </w:r>
      <w:r w:rsidRPr="00263937">
        <w:rPr>
          <w:rFonts w:ascii="Sylfaen" w:eastAsia="Times New Roman" w:hAnsi="Sylfaen"/>
          <w:sz w:val="18"/>
          <w:szCs w:val="18"/>
        </w:rPr>
        <w:t>წინასწარი</w:t>
      </w:r>
      <w:r w:rsidRPr="00263937">
        <w:rPr>
          <w:rFonts w:ascii="AcadNusx" w:eastAsia="Times New Roman" w:hAnsi="AcadNusx"/>
          <w:sz w:val="18"/>
          <w:szCs w:val="18"/>
        </w:rPr>
        <w:t xml:space="preserve"> </w:t>
      </w:r>
      <w:r w:rsidRPr="00263937">
        <w:rPr>
          <w:rFonts w:ascii="Sylfaen" w:eastAsia="Times New Roman" w:hAnsi="Sylfaen"/>
          <w:sz w:val="18"/>
          <w:szCs w:val="18"/>
        </w:rPr>
        <w:t>მონაცემები.</w:t>
      </w:r>
    </w:p>
    <w:p w:rsidR="008D4B1D" w:rsidRPr="00AA041B" w:rsidRDefault="008D4B1D" w:rsidP="007F668F">
      <w:pPr>
        <w:spacing w:line="312" w:lineRule="auto"/>
        <w:ind w:firstLine="720"/>
        <w:rPr>
          <w:rFonts w:ascii="Sylfaen" w:hAnsi="Sylfaen"/>
          <w:color w:val="FF0000"/>
          <w:sz w:val="18"/>
          <w:szCs w:val="18"/>
          <w:lang w:val="ka-GE"/>
        </w:rPr>
      </w:pPr>
    </w:p>
    <w:p w:rsidR="008D4B1D" w:rsidRPr="00AA041B" w:rsidRDefault="008D4B1D" w:rsidP="007F668F">
      <w:pPr>
        <w:spacing w:line="312" w:lineRule="auto"/>
        <w:ind w:firstLine="720"/>
        <w:rPr>
          <w:rFonts w:ascii="Sylfaen" w:hAnsi="Sylfaen"/>
          <w:color w:val="FF0000"/>
          <w:sz w:val="18"/>
          <w:szCs w:val="18"/>
          <w:lang w:val="ka-GE"/>
        </w:rPr>
      </w:pPr>
    </w:p>
    <w:p w:rsidR="008D4B1D" w:rsidRPr="00AA041B" w:rsidRDefault="008D4B1D" w:rsidP="007F668F">
      <w:pPr>
        <w:spacing w:line="312" w:lineRule="auto"/>
        <w:rPr>
          <w:rFonts w:ascii="Sylfaen" w:hAnsi="Sylfaen"/>
          <w:color w:val="FF0000"/>
          <w:lang w:val="ka-GE"/>
        </w:rPr>
      </w:pPr>
      <w:r w:rsidRPr="00AA041B">
        <w:rPr>
          <w:rFonts w:ascii="Sylfaen" w:hAnsi="Sylfaen"/>
          <w:color w:val="FF0000"/>
          <w:lang w:val="ka-GE"/>
        </w:rPr>
        <w:br w:type="page"/>
      </w:r>
    </w:p>
    <w:p w:rsidR="00030D66" w:rsidRDefault="00030D66" w:rsidP="007F668F">
      <w:pPr>
        <w:spacing w:after="0" w:line="312" w:lineRule="auto"/>
        <w:ind w:left="-567"/>
        <w:jc w:val="both"/>
        <w:rPr>
          <w:rFonts w:ascii="Sylfaen" w:hAnsi="Sylfaen"/>
        </w:rPr>
      </w:pPr>
      <w:r w:rsidRPr="00BC636A">
        <w:rPr>
          <w:rFonts w:ascii="Sylfaen" w:hAnsi="Sylfaen"/>
          <w:lang w:val="ka-GE"/>
        </w:rPr>
        <w:lastRenderedPageBreak/>
        <w:t xml:space="preserve">ეკონომიკის სექტორების მიხედვით </w:t>
      </w:r>
      <w:r>
        <w:rPr>
          <w:rFonts w:ascii="Sylfaen" w:hAnsi="Sylfaen"/>
          <w:lang w:val="ka-GE"/>
        </w:rPr>
        <w:t>201</w:t>
      </w:r>
      <w:r>
        <w:rPr>
          <w:rFonts w:ascii="Sylfaen" w:hAnsi="Sylfaen"/>
        </w:rPr>
        <w:t>6</w:t>
      </w:r>
      <w:r w:rsidRPr="00BC636A">
        <w:rPr>
          <w:rFonts w:ascii="Sylfaen" w:hAnsi="Sylfaen"/>
          <w:lang w:val="ka-GE"/>
        </w:rPr>
        <w:t xml:space="preserve"> წ</w:t>
      </w:r>
      <w:r>
        <w:rPr>
          <w:rFonts w:ascii="Sylfaen" w:hAnsi="Sylfaen"/>
          <w:lang w:val="ka-GE"/>
        </w:rPr>
        <w:t>ე</w:t>
      </w:r>
      <w:r w:rsidRPr="00BC636A">
        <w:rPr>
          <w:rFonts w:ascii="Sylfaen" w:hAnsi="Sylfaen"/>
          <w:lang w:val="ka-GE"/>
        </w:rPr>
        <w:t>ლს</w:t>
      </w:r>
      <w:r>
        <w:rPr>
          <w:rFonts w:ascii="Sylfaen" w:hAnsi="Sylfaen"/>
        </w:rPr>
        <w:t xml:space="preserve"> </w:t>
      </w:r>
      <w:r w:rsidRPr="00BC636A">
        <w:rPr>
          <w:rFonts w:ascii="Sylfaen" w:hAnsi="Sylfaen"/>
          <w:lang w:val="ka-GE"/>
        </w:rPr>
        <w:t xml:space="preserve">განხორციელებული პირდაპირი უცხოური ინვესტიციების პროცენტული განაწილება მოცემულია დიაგრამაში </w:t>
      </w:r>
      <w:r w:rsidRPr="00024802">
        <w:rPr>
          <w:rFonts w:ascii="AcadNusx" w:hAnsi="AcadNusx"/>
          <w:lang w:val="ka-GE"/>
        </w:rPr>
        <w:t>#</w:t>
      </w:r>
      <w:r>
        <w:rPr>
          <w:rFonts w:ascii="AcadNusx" w:hAnsi="AcadNusx"/>
        </w:rPr>
        <w:t>5</w:t>
      </w:r>
      <w:r w:rsidRPr="00BC636A">
        <w:rPr>
          <w:rFonts w:ascii="Sylfaen" w:hAnsi="Sylfaen"/>
          <w:lang w:val="ka-GE"/>
        </w:rPr>
        <w:t>:</w:t>
      </w:r>
    </w:p>
    <w:p w:rsidR="008D4B1D" w:rsidRPr="00991EFB" w:rsidRDefault="008D4B1D" w:rsidP="007F668F">
      <w:pPr>
        <w:spacing w:after="0" w:line="312" w:lineRule="auto"/>
        <w:ind w:left="-567" w:firstLine="709"/>
        <w:jc w:val="both"/>
        <w:rPr>
          <w:rFonts w:ascii="Sylfaen" w:hAnsi="Sylfaen"/>
          <w:lang w:val="ka-GE"/>
        </w:rPr>
      </w:pPr>
      <w:r w:rsidRPr="00263937">
        <w:rPr>
          <w:rFonts w:ascii="Sylfaen" w:hAnsi="Sylfaen" w:cs="Arial"/>
          <w:b/>
          <w:sz w:val="20"/>
          <w:szCs w:val="20"/>
          <w:lang w:val="ka-GE"/>
        </w:rPr>
        <w:t xml:space="preserve">დიაგრამა </w:t>
      </w:r>
      <w:r w:rsidRPr="00263937">
        <w:rPr>
          <w:rFonts w:ascii="AcadNusx" w:hAnsi="AcadNusx" w:cs="Arial"/>
          <w:b/>
          <w:sz w:val="20"/>
          <w:szCs w:val="20"/>
          <w:lang w:val="ka-GE"/>
        </w:rPr>
        <w:t>#</w:t>
      </w:r>
      <w:r w:rsidRPr="00263937">
        <w:rPr>
          <w:rFonts w:ascii="AcadNusx" w:hAnsi="AcadNusx" w:cs="Arial"/>
          <w:b/>
          <w:sz w:val="20"/>
          <w:szCs w:val="20"/>
        </w:rPr>
        <w:t>5.</w:t>
      </w:r>
    </w:p>
    <w:p w:rsidR="008D4B1D" w:rsidRPr="00AA041B" w:rsidRDefault="00030D66" w:rsidP="007F668F">
      <w:pPr>
        <w:spacing w:line="312" w:lineRule="auto"/>
        <w:rPr>
          <w:rFonts w:ascii="Sylfaen" w:hAnsi="Sylfaen"/>
          <w:color w:val="FF0000"/>
        </w:rPr>
      </w:pPr>
      <w:r w:rsidRPr="00030D66">
        <w:rPr>
          <w:rFonts w:ascii="Sylfaen" w:hAnsi="Sylfaen"/>
          <w:noProof/>
          <w:color w:val="FF0000"/>
        </w:rPr>
        <w:drawing>
          <wp:inline distT="0" distB="0" distL="0" distR="0">
            <wp:extent cx="5667376" cy="4152900"/>
            <wp:effectExtent l="0" t="0" r="0"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4B1D" w:rsidRPr="00263937" w:rsidRDefault="008D4B1D" w:rsidP="007F668F">
      <w:pPr>
        <w:spacing w:line="312" w:lineRule="auto"/>
        <w:ind w:firstLine="142"/>
        <w:rPr>
          <w:rFonts w:ascii="Sylfaen" w:eastAsia="Times New Roman" w:hAnsi="Sylfaen"/>
          <w:sz w:val="18"/>
          <w:szCs w:val="18"/>
          <w:lang w:val="ka-GE"/>
        </w:rPr>
      </w:pPr>
      <w:r w:rsidRPr="00263937">
        <w:rPr>
          <w:rFonts w:ascii="AcadNusx" w:eastAsia="Times New Roman" w:hAnsi="AcadNusx"/>
          <w:sz w:val="18"/>
          <w:szCs w:val="18"/>
        </w:rPr>
        <w:t>*</w:t>
      </w:r>
      <w:r w:rsidRPr="00263937">
        <w:rPr>
          <w:rFonts w:ascii="Sylfaen" w:eastAsia="Times New Roman" w:hAnsi="Sylfaen"/>
          <w:sz w:val="18"/>
          <w:szCs w:val="18"/>
        </w:rPr>
        <w:t>წინასწარი</w:t>
      </w:r>
      <w:r w:rsidRPr="00263937">
        <w:rPr>
          <w:rFonts w:ascii="AcadNusx" w:eastAsia="Times New Roman" w:hAnsi="AcadNusx"/>
          <w:sz w:val="18"/>
          <w:szCs w:val="18"/>
        </w:rPr>
        <w:t xml:space="preserve"> </w:t>
      </w:r>
      <w:r w:rsidRPr="00263937">
        <w:rPr>
          <w:rFonts w:ascii="Sylfaen" w:eastAsia="Times New Roman" w:hAnsi="Sylfaen"/>
          <w:sz w:val="18"/>
          <w:szCs w:val="18"/>
        </w:rPr>
        <w:t>მონაცემები.</w:t>
      </w:r>
    </w:p>
    <w:p w:rsidR="008D4B1D" w:rsidRPr="00AA041B" w:rsidRDefault="008D4B1D" w:rsidP="007F668F">
      <w:pPr>
        <w:spacing w:line="312" w:lineRule="auto"/>
        <w:ind w:left="810" w:firstLine="450"/>
        <w:rPr>
          <w:rFonts w:ascii="Sylfaen" w:eastAsia="Times New Roman" w:hAnsi="Sylfaen"/>
          <w:color w:val="FF0000"/>
          <w:sz w:val="18"/>
          <w:szCs w:val="18"/>
          <w:lang w:val="ka-GE"/>
        </w:rPr>
      </w:pPr>
    </w:p>
    <w:p w:rsidR="00B2530B" w:rsidRPr="00AA041B" w:rsidRDefault="00B2530B" w:rsidP="007F668F">
      <w:pPr>
        <w:spacing w:line="312" w:lineRule="auto"/>
        <w:rPr>
          <w:color w:val="FF0000"/>
        </w:rPr>
      </w:pPr>
      <w:r w:rsidRPr="00AA041B">
        <w:rPr>
          <w:color w:val="FF0000"/>
        </w:rPr>
        <w:br w:type="page"/>
      </w:r>
    </w:p>
    <w:p w:rsidR="00336EAE" w:rsidRPr="004427B0" w:rsidRDefault="00336EAE" w:rsidP="00336EAE">
      <w:pPr>
        <w:pStyle w:val="Heading1"/>
        <w:spacing w:line="24" w:lineRule="atLeast"/>
        <w:ind w:firstLine="0"/>
        <w:jc w:val="center"/>
        <w:rPr>
          <w:rFonts w:ascii="LiterNusx" w:hAnsi="LiterNusx"/>
          <w:b/>
          <w:noProof/>
          <w:sz w:val="24"/>
          <w:szCs w:val="24"/>
        </w:rPr>
      </w:pPr>
      <w:r w:rsidRPr="004427B0">
        <w:rPr>
          <w:rFonts w:ascii="Sylfaen" w:hAnsi="Sylfaen" w:cs="Sylfaen"/>
          <w:b/>
          <w:noProof/>
          <w:sz w:val="24"/>
          <w:szCs w:val="24"/>
        </w:rPr>
        <w:lastRenderedPageBreak/>
        <w:t>საქართველოს</w:t>
      </w:r>
      <w:r w:rsidRPr="004427B0">
        <w:rPr>
          <w:rFonts w:ascii="LiterNusx" w:hAnsi="LiterNusx"/>
          <w:b/>
          <w:noProof/>
          <w:sz w:val="24"/>
          <w:szCs w:val="24"/>
        </w:rPr>
        <w:t xml:space="preserve"> </w:t>
      </w:r>
      <w:r w:rsidRPr="004427B0">
        <w:rPr>
          <w:rFonts w:ascii="Sylfaen" w:hAnsi="Sylfaen" w:cs="Sylfaen"/>
          <w:b/>
          <w:noProof/>
          <w:sz w:val="24"/>
          <w:szCs w:val="24"/>
        </w:rPr>
        <w:t>საგარეო</w:t>
      </w:r>
      <w:r w:rsidRPr="004427B0">
        <w:rPr>
          <w:rFonts w:ascii="LiterNusx" w:hAnsi="LiterNusx"/>
          <w:b/>
          <w:noProof/>
          <w:sz w:val="24"/>
          <w:szCs w:val="24"/>
        </w:rPr>
        <w:t xml:space="preserve"> </w:t>
      </w:r>
      <w:r w:rsidRPr="004427B0">
        <w:rPr>
          <w:rFonts w:ascii="Sylfaen" w:hAnsi="Sylfaen" w:cs="Sylfaen"/>
          <w:b/>
          <w:noProof/>
          <w:sz w:val="24"/>
          <w:szCs w:val="24"/>
        </w:rPr>
        <w:t>ვაჭრობა</w:t>
      </w:r>
      <w:r w:rsidRPr="004427B0">
        <w:rPr>
          <w:rFonts w:ascii="LiterNusx" w:hAnsi="LiterNusx"/>
          <w:b/>
          <w:noProof/>
          <w:sz w:val="24"/>
          <w:szCs w:val="24"/>
        </w:rPr>
        <w:t xml:space="preserve"> </w:t>
      </w:r>
    </w:p>
    <w:p w:rsidR="00336EAE" w:rsidRPr="00336EAE" w:rsidRDefault="00336EAE" w:rsidP="00A344A0">
      <w:pPr>
        <w:pStyle w:val="Heading1"/>
        <w:spacing w:before="120" w:line="24" w:lineRule="atLeast"/>
        <w:ind w:firstLine="0"/>
        <w:jc w:val="center"/>
        <w:rPr>
          <w:rFonts w:ascii="Sylfaen" w:hAnsi="Sylfaen" w:cs="Sylfaen"/>
          <w:noProof/>
          <w:color w:val="000000"/>
          <w:sz w:val="22"/>
          <w:szCs w:val="22"/>
          <w:lang w:val="ka-GE"/>
        </w:rPr>
      </w:pPr>
      <w:r w:rsidRPr="00336EAE">
        <w:rPr>
          <w:rFonts w:ascii="Sylfaen" w:hAnsi="Sylfaen" w:cs="Sylfaen"/>
          <w:noProof/>
          <w:color w:val="000000"/>
          <w:sz w:val="22"/>
          <w:szCs w:val="22"/>
        </w:rPr>
        <w:t>201</w:t>
      </w:r>
      <w:r w:rsidR="004427B0">
        <w:rPr>
          <w:rFonts w:ascii="Sylfaen" w:hAnsi="Sylfaen" w:cs="Sylfaen"/>
          <w:noProof/>
          <w:color w:val="000000"/>
          <w:sz w:val="22"/>
          <w:szCs w:val="22"/>
        </w:rPr>
        <w:t>6</w:t>
      </w:r>
      <w:r w:rsidRPr="00336EAE">
        <w:rPr>
          <w:rFonts w:ascii="Sylfaen" w:hAnsi="Sylfaen" w:cs="Sylfaen"/>
          <w:noProof/>
          <w:color w:val="000000"/>
          <w:sz w:val="22"/>
          <w:szCs w:val="22"/>
        </w:rPr>
        <w:t xml:space="preserve"> წელი </w:t>
      </w:r>
      <w:r w:rsidRPr="00336EAE">
        <w:rPr>
          <w:sz w:val="22"/>
          <w:szCs w:val="22"/>
        </w:rPr>
        <w:t>(</w:t>
      </w:r>
      <w:r w:rsidRPr="00336EAE">
        <w:rPr>
          <w:rFonts w:ascii="Sylfaen" w:hAnsi="Sylfaen" w:cs="Sylfaen"/>
          <w:sz w:val="22"/>
          <w:szCs w:val="22"/>
        </w:rPr>
        <w:t>წინასწარი</w:t>
      </w:r>
      <w:r w:rsidRPr="00336EAE">
        <w:rPr>
          <w:sz w:val="22"/>
          <w:szCs w:val="22"/>
        </w:rPr>
        <w:t>)</w:t>
      </w:r>
    </w:p>
    <w:p w:rsidR="009334D4" w:rsidRPr="00AA041B" w:rsidRDefault="009334D4" w:rsidP="00336EAE">
      <w:pPr>
        <w:pStyle w:val="Heading1"/>
        <w:spacing w:line="24" w:lineRule="atLeast"/>
        <w:ind w:firstLine="0"/>
        <w:rPr>
          <w:rFonts w:ascii="Sylfaen" w:hAnsi="Sylfaen"/>
          <w:noProof/>
          <w:color w:val="FF0000"/>
          <w:sz w:val="22"/>
          <w:szCs w:val="22"/>
        </w:rPr>
      </w:pPr>
    </w:p>
    <w:p w:rsidR="000271CF" w:rsidRDefault="000271CF" w:rsidP="000271CF">
      <w:pPr>
        <w:pStyle w:val="Heading1"/>
        <w:spacing w:line="312" w:lineRule="auto"/>
        <w:ind w:left="-567" w:firstLine="0"/>
        <w:rPr>
          <w:rFonts w:ascii="Sylfaen" w:hAnsi="Sylfaen"/>
          <w:noProof/>
          <w:sz w:val="22"/>
          <w:szCs w:val="22"/>
          <w:lang w:val="es-ES"/>
        </w:rPr>
      </w:pPr>
      <w:r w:rsidRPr="00DE2FED">
        <w:rPr>
          <w:rFonts w:ascii="Sylfaen" w:hAnsi="Sylfaen"/>
          <w:noProof/>
          <w:sz w:val="22"/>
          <w:szCs w:val="22"/>
          <w:lang w:val="ka-GE"/>
        </w:rPr>
        <w:t xml:space="preserve">2016 </w:t>
      </w:r>
      <w:r w:rsidRPr="00DE2FED">
        <w:rPr>
          <w:rFonts w:ascii="Sylfaen" w:hAnsi="Sylfaen" w:cs="Sylfaen"/>
          <w:noProof/>
          <w:sz w:val="22"/>
          <w:szCs w:val="22"/>
          <w:lang w:val="es-ES"/>
        </w:rPr>
        <w:t>წ</w:t>
      </w:r>
      <w:r>
        <w:rPr>
          <w:rFonts w:ascii="Sylfaen" w:hAnsi="Sylfaen" w:cs="Sylfaen"/>
          <w:noProof/>
          <w:sz w:val="22"/>
          <w:szCs w:val="22"/>
          <w:lang w:val="ka-GE"/>
        </w:rPr>
        <w:t>ე</w:t>
      </w:r>
      <w:r>
        <w:rPr>
          <w:rFonts w:ascii="Sylfaen" w:hAnsi="Sylfaen" w:cs="Sylfaen"/>
          <w:noProof/>
          <w:sz w:val="22"/>
          <w:szCs w:val="22"/>
          <w:lang w:val="es-ES"/>
        </w:rPr>
        <w:t>ლ</w:t>
      </w:r>
      <w:r w:rsidRPr="00DE2FED">
        <w:rPr>
          <w:rFonts w:ascii="Sylfaen" w:hAnsi="Sylfaen" w:cs="Sylfaen"/>
          <w:noProof/>
          <w:sz w:val="22"/>
          <w:szCs w:val="22"/>
          <w:lang w:val="es-ES"/>
        </w:rPr>
        <w:t>ს საქართველო</w:t>
      </w:r>
      <w:r w:rsidRPr="00DE2FED">
        <w:rPr>
          <w:rFonts w:ascii="Sylfaen" w:hAnsi="Sylfaen" w:cs="Sylfaen"/>
          <w:noProof/>
          <w:sz w:val="22"/>
          <w:szCs w:val="22"/>
          <w:lang w:val="ka-GE"/>
        </w:rPr>
        <w:t>ში</w:t>
      </w:r>
      <w:r w:rsidRPr="00DE2FED">
        <w:rPr>
          <w:rFonts w:ascii="Sylfaen" w:hAnsi="Sylfaen"/>
          <w:noProof/>
          <w:sz w:val="22"/>
          <w:szCs w:val="22"/>
        </w:rPr>
        <w:t xml:space="preserve"> </w:t>
      </w:r>
      <w:r w:rsidRPr="00DE2FED">
        <w:rPr>
          <w:rFonts w:ascii="Sylfaen" w:hAnsi="Sylfaen"/>
          <w:noProof/>
          <w:sz w:val="22"/>
          <w:szCs w:val="22"/>
          <w:lang w:val="ka-GE"/>
        </w:rPr>
        <w:t xml:space="preserve">საქონლით </w:t>
      </w:r>
      <w:r w:rsidRPr="00DE2FED">
        <w:rPr>
          <w:rFonts w:ascii="Sylfaen" w:hAnsi="Sylfaen" w:cs="Sylfaen"/>
          <w:noProof/>
          <w:sz w:val="22"/>
          <w:szCs w:val="22"/>
          <w:lang w:val="es-ES"/>
        </w:rPr>
        <w:t>საგარეო</w:t>
      </w:r>
      <w:r w:rsidRPr="00DE2FED">
        <w:rPr>
          <w:rFonts w:ascii="Sylfaen" w:hAnsi="Sylfaen"/>
          <w:noProof/>
          <w:sz w:val="22"/>
          <w:szCs w:val="22"/>
          <w:lang w:val="es-ES"/>
        </w:rPr>
        <w:t xml:space="preserve"> </w:t>
      </w:r>
      <w:r w:rsidRPr="00DE2FED">
        <w:rPr>
          <w:rFonts w:ascii="Sylfaen" w:hAnsi="Sylfaen" w:cs="Sylfaen"/>
          <w:noProof/>
          <w:sz w:val="22"/>
          <w:szCs w:val="22"/>
          <w:lang w:val="es-ES"/>
        </w:rPr>
        <w:t>სავაჭრო</w:t>
      </w:r>
      <w:r w:rsidRPr="00DE2FED">
        <w:rPr>
          <w:rFonts w:ascii="Sylfaen" w:hAnsi="Sylfaen"/>
          <w:noProof/>
          <w:sz w:val="22"/>
          <w:szCs w:val="22"/>
          <w:lang w:val="es-ES"/>
        </w:rPr>
        <w:t xml:space="preserve"> </w:t>
      </w:r>
      <w:r w:rsidRPr="00DE2FED">
        <w:rPr>
          <w:rFonts w:ascii="Sylfaen" w:hAnsi="Sylfaen" w:cs="Sylfaen"/>
          <w:noProof/>
          <w:sz w:val="22"/>
          <w:szCs w:val="22"/>
          <w:lang w:val="es-ES"/>
        </w:rPr>
        <w:t>ბრუნვამ</w:t>
      </w:r>
      <w:r w:rsidRPr="00DE2FED">
        <w:rPr>
          <w:rFonts w:ascii="Sylfaen" w:hAnsi="Sylfaen"/>
          <w:noProof/>
          <w:sz w:val="22"/>
          <w:szCs w:val="22"/>
          <w:lang w:val="es-ES"/>
        </w:rPr>
        <w:t xml:space="preserve"> (</w:t>
      </w:r>
      <w:r>
        <w:rPr>
          <w:rFonts w:ascii="Sylfaen" w:hAnsi="Sylfaen"/>
          <w:noProof/>
          <w:sz w:val="22"/>
          <w:szCs w:val="22"/>
          <w:lang w:val="ka-GE"/>
        </w:rPr>
        <w:t>არადეკლარირებული</w:t>
      </w:r>
      <w:r w:rsidRPr="00DE2FED">
        <w:rPr>
          <w:rFonts w:ascii="Sylfaen" w:hAnsi="Sylfaen"/>
          <w:noProof/>
          <w:sz w:val="22"/>
          <w:szCs w:val="22"/>
          <w:lang w:val="es-ES"/>
        </w:rPr>
        <w:t xml:space="preserve"> </w:t>
      </w:r>
      <w:r w:rsidRPr="00DE2FED">
        <w:rPr>
          <w:rFonts w:ascii="Sylfaen" w:hAnsi="Sylfaen" w:cs="Sylfaen"/>
          <w:noProof/>
          <w:sz w:val="22"/>
          <w:szCs w:val="22"/>
          <w:lang w:val="es-ES"/>
        </w:rPr>
        <w:t>ვაჭრობის</w:t>
      </w:r>
      <w:r w:rsidRPr="00DE2FED">
        <w:rPr>
          <w:rFonts w:ascii="Sylfaen" w:hAnsi="Sylfaen"/>
          <w:noProof/>
          <w:sz w:val="22"/>
          <w:szCs w:val="22"/>
          <w:lang w:val="es-ES"/>
        </w:rPr>
        <w:t xml:space="preserve"> </w:t>
      </w:r>
      <w:r w:rsidRPr="00DE2FED">
        <w:rPr>
          <w:rFonts w:ascii="Sylfaen" w:hAnsi="Sylfaen" w:cs="Sylfaen"/>
          <w:noProof/>
          <w:sz w:val="22"/>
          <w:szCs w:val="22"/>
          <w:lang w:val="es-ES"/>
        </w:rPr>
        <w:t>გარეშე</w:t>
      </w:r>
      <w:r w:rsidRPr="00DE2FED">
        <w:rPr>
          <w:rFonts w:ascii="Sylfaen" w:hAnsi="Sylfaen"/>
          <w:noProof/>
          <w:sz w:val="22"/>
          <w:szCs w:val="22"/>
          <w:lang w:val="es-ES"/>
        </w:rPr>
        <w:t>)</w:t>
      </w:r>
      <w:r>
        <w:rPr>
          <w:rFonts w:ascii="Sylfaen" w:hAnsi="Sylfaen"/>
          <w:noProof/>
          <w:sz w:val="22"/>
          <w:szCs w:val="22"/>
          <w:lang w:val="es-ES"/>
        </w:rPr>
        <w:t xml:space="preserve"> </w:t>
      </w:r>
      <w:r>
        <w:rPr>
          <w:rFonts w:ascii="Sylfaen" w:hAnsi="Sylfaen"/>
          <w:noProof/>
          <w:sz w:val="22"/>
          <w:szCs w:val="22"/>
          <w:lang w:val="ka-GE"/>
        </w:rPr>
        <w:t xml:space="preserve"> </w:t>
      </w:r>
      <w:r>
        <w:rPr>
          <w:rFonts w:ascii="Sylfaen" w:hAnsi="Sylfaen"/>
          <w:noProof/>
          <w:sz w:val="22"/>
          <w:szCs w:val="22"/>
        </w:rPr>
        <w:t>9400</w:t>
      </w:r>
      <w:r w:rsidRPr="00DE2FED">
        <w:rPr>
          <w:rFonts w:ascii="Sylfaen" w:hAnsi="Sylfaen"/>
          <w:noProof/>
          <w:sz w:val="22"/>
          <w:szCs w:val="22"/>
          <w:lang w:val="ka-GE"/>
        </w:rPr>
        <w:t xml:space="preserve"> </w:t>
      </w:r>
      <w:r w:rsidRPr="00DE2FED">
        <w:rPr>
          <w:rFonts w:ascii="Sylfaen" w:hAnsi="Sylfaen" w:cs="Sylfaen"/>
          <w:noProof/>
          <w:sz w:val="22"/>
          <w:szCs w:val="22"/>
          <w:lang w:val="es-ES"/>
        </w:rPr>
        <w:t>მლნ</w:t>
      </w:r>
      <w:r w:rsidRPr="00DE2FED">
        <w:rPr>
          <w:rFonts w:ascii="Sylfaen" w:hAnsi="Sylfaen"/>
          <w:noProof/>
          <w:sz w:val="22"/>
          <w:szCs w:val="22"/>
          <w:lang w:val="es-ES"/>
        </w:rPr>
        <w:t xml:space="preserve">. </w:t>
      </w:r>
      <w:r w:rsidRPr="00DE2FED">
        <w:rPr>
          <w:rFonts w:ascii="Sylfaen" w:hAnsi="Sylfaen" w:cs="Sylfaen"/>
          <w:noProof/>
          <w:sz w:val="22"/>
          <w:szCs w:val="22"/>
          <w:lang w:val="es-ES"/>
        </w:rPr>
        <w:t>აშშ</w:t>
      </w:r>
      <w:r w:rsidRPr="00DE2FED">
        <w:rPr>
          <w:rFonts w:ascii="Sylfaen" w:hAnsi="Sylfaen"/>
          <w:noProof/>
          <w:sz w:val="22"/>
          <w:szCs w:val="22"/>
          <w:lang w:val="es-ES"/>
        </w:rPr>
        <w:t xml:space="preserve"> </w:t>
      </w:r>
      <w:r w:rsidRPr="00DE2FED">
        <w:rPr>
          <w:rFonts w:ascii="Sylfaen" w:hAnsi="Sylfaen" w:cs="Sylfaen"/>
          <w:noProof/>
          <w:sz w:val="22"/>
          <w:szCs w:val="22"/>
          <w:lang w:val="es-ES"/>
        </w:rPr>
        <w:t>დოლარი</w:t>
      </w:r>
      <w:r w:rsidRPr="00DE2FED">
        <w:rPr>
          <w:rFonts w:ascii="Sylfaen" w:hAnsi="Sylfaen"/>
          <w:noProof/>
          <w:sz w:val="22"/>
          <w:szCs w:val="22"/>
          <w:lang w:val="es-ES"/>
        </w:rPr>
        <w:t xml:space="preserve"> </w:t>
      </w:r>
      <w:r w:rsidRPr="00DE2FED">
        <w:rPr>
          <w:rFonts w:ascii="Sylfaen" w:hAnsi="Sylfaen" w:cs="Sylfaen"/>
          <w:noProof/>
          <w:sz w:val="22"/>
          <w:szCs w:val="22"/>
          <w:lang w:val="es-ES"/>
        </w:rPr>
        <w:t>შეადგინა</w:t>
      </w:r>
      <w:r w:rsidRPr="00DE2FED">
        <w:rPr>
          <w:rFonts w:ascii="Sylfaen" w:hAnsi="Sylfaen"/>
          <w:noProof/>
          <w:sz w:val="22"/>
          <w:szCs w:val="22"/>
          <w:lang w:val="es-ES"/>
        </w:rPr>
        <w:t xml:space="preserve">, </w:t>
      </w:r>
      <w:r w:rsidRPr="00DE2FED">
        <w:rPr>
          <w:rFonts w:ascii="Sylfaen" w:hAnsi="Sylfaen" w:cs="Sylfaen"/>
          <w:noProof/>
          <w:sz w:val="22"/>
          <w:szCs w:val="22"/>
          <w:lang w:val="es-ES"/>
        </w:rPr>
        <w:t>რაც</w:t>
      </w:r>
      <w:r w:rsidRPr="00DE2FED">
        <w:rPr>
          <w:rFonts w:ascii="Sylfaen" w:hAnsi="Sylfaen"/>
          <w:noProof/>
          <w:sz w:val="22"/>
          <w:szCs w:val="22"/>
          <w:lang w:val="es-ES"/>
        </w:rPr>
        <w:t xml:space="preserve"> </w:t>
      </w:r>
      <w:r w:rsidRPr="00DE2FED">
        <w:rPr>
          <w:rFonts w:ascii="Sylfaen" w:hAnsi="Sylfaen" w:cs="Sylfaen"/>
          <w:noProof/>
          <w:sz w:val="22"/>
          <w:szCs w:val="22"/>
          <w:lang w:val="es-ES"/>
        </w:rPr>
        <w:t>წინა</w:t>
      </w:r>
      <w:r w:rsidRPr="00DE2FED">
        <w:rPr>
          <w:rFonts w:ascii="Sylfaen" w:hAnsi="Sylfaen"/>
          <w:noProof/>
          <w:sz w:val="22"/>
          <w:szCs w:val="22"/>
          <w:lang w:val="es-ES"/>
        </w:rPr>
        <w:t xml:space="preserve"> </w:t>
      </w:r>
      <w:r w:rsidRPr="00DE2FED">
        <w:rPr>
          <w:rFonts w:ascii="Sylfaen" w:hAnsi="Sylfaen" w:cs="Sylfaen"/>
          <w:noProof/>
          <w:sz w:val="22"/>
          <w:szCs w:val="22"/>
          <w:lang w:val="es-ES"/>
        </w:rPr>
        <w:t>წლი</w:t>
      </w:r>
      <w:r w:rsidRPr="00DE2FED">
        <w:rPr>
          <w:rFonts w:ascii="Sylfaen" w:hAnsi="Sylfaen" w:cs="Sylfaen"/>
          <w:noProof/>
          <w:sz w:val="22"/>
          <w:szCs w:val="22"/>
          <w:lang w:val="ka-GE"/>
        </w:rPr>
        <w:t>ს</w:t>
      </w:r>
      <w:r w:rsidRPr="00DE2FED">
        <w:rPr>
          <w:rFonts w:ascii="Sylfaen" w:hAnsi="Sylfaen" w:cs="Sylfaen"/>
          <w:noProof/>
          <w:sz w:val="22"/>
          <w:szCs w:val="22"/>
          <w:lang w:val="es-ES"/>
        </w:rPr>
        <w:t xml:space="preserve"> </w:t>
      </w:r>
      <w:r w:rsidRPr="00DE2FED">
        <w:rPr>
          <w:rFonts w:ascii="Sylfaen" w:hAnsi="Sylfaen" w:cs="Sylfaen"/>
          <w:noProof/>
          <w:sz w:val="22"/>
          <w:szCs w:val="22"/>
          <w:lang w:val="ka-GE"/>
        </w:rPr>
        <w:t xml:space="preserve">შესაბამის </w:t>
      </w:r>
      <w:r w:rsidRPr="00DE2FED">
        <w:rPr>
          <w:rFonts w:ascii="Sylfaen" w:hAnsi="Sylfaen" w:cs="Sylfaen"/>
          <w:noProof/>
          <w:sz w:val="22"/>
          <w:szCs w:val="22"/>
          <w:lang w:val="es-ES"/>
        </w:rPr>
        <w:t>მაჩვენებელზე</w:t>
      </w:r>
      <w:r w:rsidRPr="00DE2FED">
        <w:rPr>
          <w:rFonts w:ascii="Sylfaen" w:hAnsi="Sylfaen"/>
          <w:noProof/>
          <w:sz w:val="22"/>
          <w:szCs w:val="22"/>
          <w:lang w:val="es-ES"/>
        </w:rPr>
        <w:t xml:space="preserve"> </w:t>
      </w:r>
      <w:r>
        <w:rPr>
          <w:rFonts w:ascii="Sylfaen" w:hAnsi="Sylfaen"/>
          <w:noProof/>
          <w:sz w:val="22"/>
          <w:szCs w:val="22"/>
        </w:rPr>
        <w:t xml:space="preserve">1 </w:t>
      </w:r>
      <w:r w:rsidRPr="00DE2FED">
        <w:rPr>
          <w:rFonts w:ascii="Sylfaen" w:hAnsi="Sylfaen" w:cs="Sylfaen"/>
          <w:noProof/>
          <w:sz w:val="22"/>
          <w:szCs w:val="22"/>
          <w:lang w:val="es-ES"/>
        </w:rPr>
        <w:t>პროცენტით</w:t>
      </w:r>
      <w:r w:rsidRPr="00DE2FED">
        <w:rPr>
          <w:rFonts w:ascii="Sylfaen" w:hAnsi="Sylfaen"/>
          <w:noProof/>
          <w:sz w:val="22"/>
          <w:szCs w:val="22"/>
          <w:lang w:val="es-ES"/>
        </w:rPr>
        <w:t xml:space="preserve"> </w:t>
      </w:r>
      <w:r w:rsidRPr="00DE2FED">
        <w:rPr>
          <w:rFonts w:ascii="Sylfaen" w:hAnsi="Sylfaen" w:cs="Sylfaen"/>
          <w:noProof/>
          <w:sz w:val="22"/>
          <w:szCs w:val="22"/>
          <w:lang w:val="ka-GE"/>
        </w:rPr>
        <w:t>ნაკლები</w:t>
      </w:r>
      <w:r w:rsidRPr="00DE2FED">
        <w:rPr>
          <w:rFonts w:ascii="Sylfaen" w:hAnsi="Sylfaen" w:cs="Sylfaen"/>
          <w:noProof/>
          <w:sz w:val="22"/>
          <w:szCs w:val="22"/>
          <w:lang w:val="es-ES"/>
        </w:rPr>
        <w:t>ა</w:t>
      </w:r>
      <w:r w:rsidRPr="00DE2FED">
        <w:rPr>
          <w:rFonts w:ascii="Sylfaen" w:hAnsi="Sylfaen"/>
          <w:noProof/>
          <w:sz w:val="22"/>
          <w:szCs w:val="22"/>
          <w:lang w:val="es-ES"/>
        </w:rPr>
        <w:t xml:space="preserve">; </w:t>
      </w:r>
      <w:r w:rsidRPr="00DE2FED">
        <w:rPr>
          <w:rFonts w:ascii="Sylfaen" w:hAnsi="Sylfaen" w:cs="Sylfaen"/>
          <w:noProof/>
          <w:sz w:val="22"/>
          <w:szCs w:val="22"/>
          <w:lang w:val="es-ES"/>
        </w:rPr>
        <w:t>აქედან</w:t>
      </w:r>
      <w:r w:rsidRPr="00DE2FED">
        <w:rPr>
          <w:rFonts w:ascii="Sylfaen" w:hAnsi="Sylfaen"/>
          <w:noProof/>
          <w:sz w:val="22"/>
          <w:szCs w:val="22"/>
          <w:lang w:val="es-ES"/>
        </w:rPr>
        <w:t xml:space="preserve"> </w:t>
      </w:r>
      <w:r w:rsidRPr="00DE2FED">
        <w:rPr>
          <w:rFonts w:ascii="Sylfaen" w:hAnsi="Sylfaen" w:cs="Sylfaen"/>
          <w:noProof/>
          <w:sz w:val="22"/>
          <w:szCs w:val="22"/>
          <w:lang w:val="es-ES"/>
        </w:rPr>
        <w:t>ექსპორტი</w:t>
      </w:r>
      <w:r w:rsidRPr="00DE2FED">
        <w:rPr>
          <w:rFonts w:ascii="Sylfaen" w:hAnsi="Sylfaen" w:cs="Sylfaen"/>
          <w:noProof/>
          <w:sz w:val="22"/>
          <w:szCs w:val="22"/>
          <w:lang w:val="ka-GE"/>
        </w:rPr>
        <w:t xml:space="preserve"> </w:t>
      </w:r>
      <w:r>
        <w:rPr>
          <w:rFonts w:ascii="Sylfaen" w:hAnsi="Sylfaen"/>
          <w:noProof/>
          <w:sz w:val="22"/>
          <w:szCs w:val="22"/>
        </w:rPr>
        <w:t>2113</w:t>
      </w:r>
      <w:r w:rsidRPr="00DE2FED">
        <w:rPr>
          <w:rFonts w:ascii="Sylfaen" w:hAnsi="Sylfaen"/>
          <w:noProof/>
          <w:sz w:val="22"/>
          <w:szCs w:val="22"/>
          <w:lang w:val="ka-GE"/>
        </w:rPr>
        <w:t xml:space="preserve"> </w:t>
      </w:r>
      <w:r w:rsidRPr="00DE2FED">
        <w:rPr>
          <w:rFonts w:ascii="Sylfaen" w:hAnsi="Sylfaen" w:cs="Sylfaen"/>
          <w:noProof/>
          <w:sz w:val="22"/>
          <w:szCs w:val="22"/>
          <w:lang w:val="es-ES"/>
        </w:rPr>
        <w:t>მლნ</w:t>
      </w:r>
      <w:r w:rsidRPr="00DE2FED">
        <w:rPr>
          <w:rFonts w:ascii="Sylfaen" w:hAnsi="Sylfaen"/>
          <w:noProof/>
          <w:sz w:val="22"/>
          <w:szCs w:val="22"/>
          <w:lang w:val="es-ES"/>
        </w:rPr>
        <w:t xml:space="preserve">. </w:t>
      </w:r>
      <w:r w:rsidRPr="00DE2FED">
        <w:rPr>
          <w:rFonts w:ascii="Sylfaen" w:hAnsi="Sylfaen" w:cs="Sylfaen"/>
          <w:noProof/>
          <w:sz w:val="22"/>
          <w:szCs w:val="22"/>
          <w:lang w:val="es-ES"/>
        </w:rPr>
        <w:t>აშშ</w:t>
      </w:r>
      <w:r w:rsidRPr="00DE2FED">
        <w:rPr>
          <w:rFonts w:ascii="Sylfaen" w:hAnsi="Sylfaen"/>
          <w:noProof/>
          <w:sz w:val="22"/>
          <w:szCs w:val="22"/>
          <w:lang w:val="es-ES"/>
        </w:rPr>
        <w:t xml:space="preserve"> </w:t>
      </w:r>
      <w:r w:rsidRPr="00DE2FED">
        <w:rPr>
          <w:rFonts w:ascii="Sylfaen" w:hAnsi="Sylfaen" w:cs="Sylfaen"/>
          <w:noProof/>
          <w:sz w:val="22"/>
          <w:szCs w:val="22"/>
          <w:lang w:val="es-ES"/>
        </w:rPr>
        <w:t>დოლარ</w:t>
      </w:r>
      <w:r w:rsidRPr="00DE2FED">
        <w:rPr>
          <w:rFonts w:ascii="Sylfaen" w:hAnsi="Sylfaen" w:cs="Sylfaen"/>
          <w:noProof/>
          <w:sz w:val="22"/>
          <w:szCs w:val="22"/>
          <w:lang w:val="ka-GE"/>
        </w:rPr>
        <w:t>ს</w:t>
      </w:r>
      <w:r w:rsidRPr="00DE2FED">
        <w:rPr>
          <w:rFonts w:ascii="Sylfaen" w:hAnsi="Sylfaen"/>
          <w:noProof/>
          <w:sz w:val="22"/>
          <w:szCs w:val="22"/>
          <w:lang w:val="es-ES"/>
        </w:rPr>
        <w:t xml:space="preserve"> </w:t>
      </w:r>
      <w:r w:rsidRPr="00DE2FED">
        <w:rPr>
          <w:rFonts w:ascii="Sylfaen" w:hAnsi="Sylfaen"/>
          <w:noProof/>
          <w:sz w:val="22"/>
          <w:szCs w:val="22"/>
          <w:lang w:val="ka-GE"/>
        </w:rPr>
        <w:t>შეადგენს</w:t>
      </w:r>
      <w:r w:rsidRPr="00DE2FED">
        <w:rPr>
          <w:rFonts w:ascii="Sylfaen" w:hAnsi="Sylfaen"/>
          <w:noProof/>
          <w:sz w:val="22"/>
          <w:szCs w:val="22"/>
          <w:lang w:val="es-ES"/>
        </w:rPr>
        <w:t xml:space="preserve"> (</w:t>
      </w:r>
      <w:r>
        <w:rPr>
          <w:rFonts w:ascii="Sylfaen" w:hAnsi="Sylfaen"/>
          <w:noProof/>
          <w:sz w:val="22"/>
          <w:szCs w:val="22"/>
        </w:rPr>
        <w:t>4</w:t>
      </w:r>
      <w:r w:rsidRPr="00DE2FED">
        <w:rPr>
          <w:rFonts w:ascii="Sylfaen" w:hAnsi="Sylfaen"/>
          <w:noProof/>
          <w:sz w:val="22"/>
          <w:szCs w:val="22"/>
          <w:lang w:val="ka-GE"/>
        </w:rPr>
        <w:t xml:space="preserve"> </w:t>
      </w:r>
      <w:r w:rsidRPr="00DE2FED">
        <w:rPr>
          <w:rFonts w:ascii="Sylfaen" w:hAnsi="Sylfaen" w:cs="Sylfaen"/>
          <w:noProof/>
          <w:sz w:val="22"/>
          <w:szCs w:val="22"/>
          <w:lang w:val="es-ES"/>
        </w:rPr>
        <w:t>პროცენტით</w:t>
      </w:r>
      <w:r w:rsidRPr="00DE2FED">
        <w:rPr>
          <w:rFonts w:ascii="Sylfaen" w:hAnsi="Sylfaen"/>
          <w:noProof/>
          <w:sz w:val="22"/>
          <w:szCs w:val="22"/>
          <w:lang w:val="es-ES"/>
        </w:rPr>
        <w:t xml:space="preserve"> </w:t>
      </w:r>
      <w:r w:rsidRPr="00DE2FED">
        <w:rPr>
          <w:rFonts w:ascii="Sylfaen" w:hAnsi="Sylfaen" w:cs="Sylfaen"/>
          <w:noProof/>
          <w:sz w:val="22"/>
          <w:szCs w:val="22"/>
          <w:lang w:val="ka-GE"/>
        </w:rPr>
        <w:t>ნაკლები</w:t>
      </w:r>
      <w:r w:rsidRPr="00DE2FED">
        <w:rPr>
          <w:rFonts w:ascii="Sylfaen" w:hAnsi="Sylfaen"/>
          <w:noProof/>
          <w:sz w:val="22"/>
          <w:szCs w:val="22"/>
          <w:lang w:val="es-ES"/>
        </w:rPr>
        <w:t xml:space="preserve">), </w:t>
      </w:r>
      <w:r w:rsidRPr="00DE2FED">
        <w:rPr>
          <w:rFonts w:ascii="Sylfaen" w:hAnsi="Sylfaen" w:cs="Sylfaen"/>
          <w:noProof/>
          <w:sz w:val="22"/>
          <w:szCs w:val="22"/>
          <w:lang w:val="es-ES"/>
        </w:rPr>
        <w:t>ხოლო</w:t>
      </w:r>
      <w:r w:rsidRPr="00DE2FED">
        <w:rPr>
          <w:rFonts w:ascii="Sylfaen" w:hAnsi="Sylfaen"/>
          <w:noProof/>
          <w:sz w:val="22"/>
          <w:szCs w:val="22"/>
          <w:lang w:val="es-ES"/>
        </w:rPr>
        <w:t xml:space="preserve"> </w:t>
      </w:r>
      <w:r w:rsidRPr="00DE2FED">
        <w:rPr>
          <w:rFonts w:ascii="Sylfaen" w:hAnsi="Sylfaen" w:cs="Sylfaen"/>
          <w:noProof/>
          <w:sz w:val="22"/>
          <w:szCs w:val="22"/>
          <w:lang w:val="es-ES"/>
        </w:rPr>
        <w:t>იმპორტი</w:t>
      </w:r>
      <w:r w:rsidRPr="00DE2FED">
        <w:rPr>
          <w:rFonts w:ascii="Sylfaen" w:hAnsi="Sylfaen"/>
          <w:noProof/>
          <w:sz w:val="22"/>
          <w:szCs w:val="22"/>
          <w:lang w:val="es-ES"/>
        </w:rPr>
        <w:t xml:space="preserve"> </w:t>
      </w:r>
      <w:r>
        <w:rPr>
          <w:rFonts w:ascii="Sylfaen" w:hAnsi="Sylfaen"/>
          <w:noProof/>
          <w:sz w:val="22"/>
          <w:szCs w:val="22"/>
        </w:rPr>
        <w:t xml:space="preserve">7287 </w:t>
      </w:r>
      <w:r w:rsidRPr="00DE2FED">
        <w:rPr>
          <w:rFonts w:ascii="Sylfaen" w:hAnsi="Sylfaen" w:cs="Sylfaen"/>
          <w:noProof/>
          <w:sz w:val="22"/>
          <w:szCs w:val="22"/>
          <w:lang w:val="es-ES"/>
        </w:rPr>
        <w:t>მლნ</w:t>
      </w:r>
      <w:r w:rsidRPr="00DE2FED">
        <w:rPr>
          <w:rFonts w:ascii="Sylfaen" w:hAnsi="Sylfaen"/>
          <w:noProof/>
          <w:sz w:val="22"/>
          <w:szCs w:val="22"/>
          <w:lang w:val="es-ES"/>
        </w:rPr>
        <w:t xml:space="preserve">. </w:t>
      </w:r>
      <w:r w:rsidRPr="00DE2FED">
        <w:rPr>
          <w:rFonts w:ascii="Sylfaen" w:hAnsi="Sylfaen" w:cs="Sylfaen"/>
          <w:noProof/>
          <w:sz w:val="22"/>
          <w:szCs w:val="22"/>
          <w:lang w:val="es-ES"/>
        </w:rPr>
        <w:t>აშშ</w:t>
      </w:r>
      <w:r w:rsidRPr="00DE2FED">
        <w:rPr>
          <w:rFonts w:ascii="Sylfaen" w:hAnsi="Sylfaen"/>
          <w:noProof/>
          <w:sz w:val="22"/>
          <w:szCs w:val="22"/>
          <w:lang w:val="es-ES"/>
        </w:rPr>
        <w:t xml:space="preserve"> </w:t>
      </w:r>
      <w:r w:rsidRPr="00DE2FED">
        <w:rPr>
          <w:rFonts w:ascii="Sylfaen" w:hAnsi="Sylfaen" w:cs="Sylfaen"/>
          <w:noProof/>
          <w:sz w:val="22"/>
          <w:szCs w:val="22"/>
          <w:lang w:val="es-ES"/>
        </w:rPr>
        <w:t>დოლარ</w:t>
      </w:r>
      <w:r w:rsidRPr="00DE2FED">
        <w:rPr>
          <w:rFonts w:ascii="Sylfaen" w:hAnsi="Sylfaen" w:cs="Sylfaen"/>
          <w:noProof/>
          <w:sz w:val="22"/>
          <w:szCs w:val="22"/>
          <w:lang w:val="ka-GE"/>
        </w:rPr>
        <w:t>ს</w:t>
      </w:r>
      <w:r w:rsidRPr="00DE2FED">
        <w:rPr>
          <w:rFonts w:ascii="Sylfaen" w:hAnsi="Sylfaen"/>
          <w:noProof/>
          <w:sz w:val="22"/>
          <w:szCs w:val="22"/>
          <w:lang w:val="es-ES"/>
        </w:rPr>
        <w:t xml:space="preserve"> (</w:t>
      </w:r>
      <w:r>
        <w:rPr>
          <w:rFonts w:ascii="Sylfaen" w:hAnsi="Sylfaen"/>
          <w:noProof/>
          <w:sz w:val="22"/>
          <w:szCs w:val="22"/>
        </w:rPr>
        <w:t>0.1</w:t>
      </w:r>
      <w:r>
        <w:rPr>
          <w:rFonts w:ascii="Sylfaen" w:hAnsi="Sylfaen"/>
          <w:noProof/>
          <w:sz w:val="22"/>
          <w:szCs w:val="22"/>
          <w:lang w:val="ka-GE"/>
        </w:rPr>
        <w:t xml:space="preserve"> </w:t>
      </w:r>
      <w:r w:rsidRPr="00DE2FED">
        <w:rPr>
          <w:rFonts w:ascii="Sylfaen" w:hAnsi="Sylfaen" w:cs="Sylfaen"/>
          <w:noProof/>
          <w:sz w:val="22"/>
          <w:szCs w:val="22"/>
          <w:lang w:val="es-ES"/>
        </w:rPr>
        <w:t>პროცენტით</w:t>
      </w:r>
      <w:r w:rsidRPr="00DE2FED">
        <w:rPr>
          <w:rFonts w:ascii="Sylfaen" w:hAnsi="Sylfaen"/>
          <w:noProof/>
          <w:sz w:val="22"/>
          <w:szCs w:val="22"/>
          <w:lang w:val="ka-GE"/>
        </w:rPr>
        <w:t xml:space="preserve"> </w:t>
      </w:r>
      <w:r w:rsidRPr="00DE2FED">
        <w:rPr>
          <w:rFonts w:ascii="Sylfaen" w:hAnsi="Sylfaen" w:cs="Sylfaen"/>
          <w:noProof/>
          <w:sz w:val="22"/>
          <w:szCs w:val="22"/>
          <w:lang w:val="ka-GE"/>
        </w:rPr>
        <w:t>ნაკლები</w:t>
      </w:r>
      <w:r w:rsidRPr="00DE2FED">
        <w:rPr>
          <w:rFonts w:ascii="Sylfaen" w:hAnsi="Sylfaen"/>
          <w:noProof/>
          <w:sz w:val="22"/>
          <w:szCs w:val="22"/>
          <w:lang w:val="es-ES"/>
        </w:rPr>
        <w:t>).</w:t>
      </w:r>
      <w:r>
        <w:rPr>
          <w:rFonts w:ascii="Sylfaen" w:hAnsi="Sylfaen"/>
          <w:noProof/>
          <w:sz w:val="22"/>
          <w:szCs w:val="22"/>
          <w:lang w:val="es-ES"/>
        </w:rPr>
        <w:t xml:space="preserve"> </w:t>
      </w:r>
      <w:r w:rsidRPr="00DE2FED">
        <w:rPr>
          <w:rFonts w:ascii="Sylfaen" w:hAnsi="Sylfaen" w:cs="Sylfaen"/>
          <w:noProof/>
          <w:sz w:val="22"/>
          <w:szCs w:val="22"/>
          <w:lang w:val="es-ES"/>
        </w:rPr>
        <w:t>საქართველოს</w:t>
      </w:r>
      <w:r w:rsidRPr="00DE2FED">
        <w:rPr>
          <w:rFonts w:ascii="Sylfaen" w:hAnsi="Sylfaen"/>
          <w:noProof/>
          <w:sz w:val="22"/>
          <w:szCs w:val="22"/>
          <w:lang w:val="es-ES"/>
        </w:rPr>
        <w:t xml:space="preserve"> </w:t>
      </w:r>
      <w:r w:rsidRPr="00DE2FED">
        <w:rPr>
          <w:rFonts w:ascii="Sylfaen" w:hAnsi="Sylfaen" w:cs="Sylfaen"/>
          <w:noProof/>
          <w:sz w:val="22"/>
          <w:szCs w:val="22"/>
          <w:lang w:val="es-ES"/>
        </w:rPr>
        <w:t>უარყოფითმა</w:t>
      </w:r>
      <w:r w:rsidRPr="00DE2FED">
        <w:rPr>
          <w:rFonts w:ascii="Sylfaen" w:hAnsi="Sylfaen"/>
          <w:noProof/>
          <w:sz w:val="22"/>
          <w:szCs w:val="22"/>
          <w:lang w:val="es-ES"/>
        </w:rPr>
        <w:t xml:space="preserve"> </w:t>
      </w:r>
      <w:r w:rsidRPr="00DE2FED">
        <w:rPr>
          <w:rFonts w:ascii="Sylfaen" w:hAnsi="Sylfaen" w:cs="Sylfaen"/>
          <w:noProof/>
          <w:sz w:val="22"/>
          <w:szCs w:val="22"/>
          <w:lang w:val="es-ES"/>
        </w:rPr>
        <w:t>სავაჭრო</w:t>
      </w:r>
      <w:r w:rsidRPr="00DE2FED">
        <w:rPr>
          <w:rFonts w:ascii="Sylfaen" w:hAnsi="Sylfaen"/>
          <w:noProof/>
          <w:sz w:val="22"/>
          <w:szCs w:val="22"/>
          <w:lang w:val="es-ES"/>
        </w:rPr>
        <w:t xml:space="preserve"> </w:t>
      </w:r>
      <w:r w:rsidRPr="00DE2FED">
        <w:rPr>
          <w:rFonts w:ascii="Sylfaen" w:hAnsi="Sylfaen" w:cs="Sylfaen"/>
          <w:noProof/>
          <w:sz w:val="22"/>
          <w:szCs w:val="22"/>
          <w:lang w:val="es-ES"/>
        </w:rPr>
        <w:t>ბალანსმა</w:t>
      </w:r>
      <w:r w:rsidRPr="00DE2FED">
        <w:rPr>
          <w:rFonts w:ascii="Sylfaen" w:hAnsi="Sylfaen"/>
          <w:noProof/>
          <w:sz w:val="22"/>
          <w:szCs w:val="22"/>
          <w:lang w:val="es-ES"/>
        </w:rPr>
        <w:t xml:space="preserve"> </w:t>
      </w:r>
      <w:r w:rsidRPr="00DE2FED">
        <w:rPr>
          <w:rFonts w:ascii="Sylfaen" w:hAnsi="Sylfaen"/>
          <w:noProof/>
          <w:sz w:val="22"/>
          <w:szCs w:val="22"/>
          <w:lang w:val="ka-GE"/>
        </w:rPr>
        <w:t>2016</w:t>
      </w:r>
      <w:r w:rsidRPr="00DE2FED">
        <w:rPr>
          <w:rFonts w:ascii="Sylfaen" w:hAnsi="Sylfaen"/>
          <w:noProof/>
          <w:sz w:val="22"/>
          <w:szCs w:val="22"/>
          <w:lang w:val="es-ES"/>
        </w:rPr>
        <w:t xml:space="preserve"> </w:t>
      </w:r>
      <w:r w:rsidRPr="00DE2FED">
        <w:rPr>
          <w:rFonts w:ascii="Sylfaen" w:hAnsi="Sylfaen"/>
          <w:noProof/>
          <w:sz w:val="22"/>
          <w:szCs w:val="22"/>
          <w:lang w:val="ka-GE"/>
        </w:rPr>
        <w:t>წ</w:t>
      </w:r>
      <w:r>
        <w:rPr>
          <w:rFonts w:ascii="Sylfaen" w:hAnsi="Sylfaen"/>
          <w:noProof/>
          <w:sz w:val="22"/>
          <w:szCs w:val="22"/>
          <w:lang w:val="ka-GE"/>
        </w:rPr>
        <w:t xml:space="preserve">ელს </w:t>
      </w:r>
      <w:r>
        <w:rPr>
          <w:rFonts w:ascii="Sylfaen" w:hAnsi="Sylfaen"/>
          <w:noProof/>
          <w:sz w:val="22"/>
          <w:szCs w:val="22"/>
        </w:rPr>
        <w:t>5175</w:t>
      </w:r>
      <w:r w:rsidRPr="00DE2FED">
        <w:rPr>
          <w:rFonts w:ascii="Sylfaen" w:hAnsi="Sylfaen"/>
          <w:noProof/>
          <w:sz w:val="22"/>
          <w:szCs w:val="22"/>
          <w:lang w:val="es-ES"/>
        </w:rPr>
        <w:t xml:space="preserve"> </w:t>
      </w:r>
      <w:r w:rsidRPr="00DE2FED">
        <w:rPr>
          <w:rFonts w:ascii="Sylfaen" w:hAnsi="Sylfaen" w:cs="Sylfaen"/>
          <w:noProof/>
          <w:sz w:val="22"/>
          <w:szCs w:val="22"/>
          <w:lang w:val="es-ES"/>
        </w:rPr>
        <w:t>მლნ</w:t>
      </w:r>
      <w:r w:rsidRPr="00DE2FED">
        <w:rPr>
          <w:rFonts w:ascii="Sylfaen" w:hAnsi="Sylfaen"/>
          <w:noProof/>
          <w:sz w:val="22"/>
          <w:szCs w:val="22"/>
          <w:lang w:val="es-ES"/>
        </w:rPr>
        <w:t xml:space="preserve">. </w:t>
      </w:r>
      <w:r w:rsidRPr="00DE2FED">
        <w:rPr>
          <w:rFonts w:ascii="Sylfaen" w:hAnsi="Sylfaen" w:cs="Sylfaen"/>
          <w:noProof/>
          <w:sz w:val="22"/>
          <w:szCs w:val="22"/>
          <w:lang w:val="es-ES"/>
        </w:rPr>
        <w:t>აშშ</w:t>
      </w:r>
      <w:r w:rsidRPr="00DE2FED">
        <w:rPr>
          <w:rFonts w:ascii="Sylfaen" w:hAnsi="Sylfaen"/>
          <w:noProof/>
          <w:sz w:val="22"/>
          <w:szCs w:val="22"/>
          <w:lang w:val="es-ES"/>
        </w:rPr>
        <w:t xml:space="preserve"> </w:t>
      </w:r>
      <w:r w:rsidRPr="00DE2FED">
        <w:rPr>
          <w:rFonts w:ascii="Sylfaen" w:hAnsi="Sylfaen" w:cs="Sylfaen"/>
          <w:noProof/>
          <w:sz w:val="22"/>
          <w:szCs w:val="22"/>
          <w:lang w:val="es-ES"/>
        </w:rPr>
        <w:t>დოლარი</w:t>
      </w:r>
      <w:r w:rsidRPr="00DE2FED">
        <w:rPr>
          <w:rFonts w:ascii="Sylfaen" w:hAnsi="Sylfaen"/>
          <w:noProof/>
          <w:sz w:val="22"/>
          <w:szCs w:val="22"/>
          <w:lang w:val="es-ES"/>
        </w:rPr>
        <w:t xml:space="preserve"> </w:t>
      </w:r>
      <w:r w:rsidRPr="00DE2FED">
        <w:rPr>
          <w:rFonts w:ascii="Sylfaen" w:hAnsi="Sylfaen"/>
          <w:noProof/>
          <w:sz w:val="22"/>
          <w:szCs w:val="22"/>
          <w:lang w:val="ka-GE"/>
        </w:rPr>
        <w:t xml:space="preserve">და საგარეო სავაჭრო ბრუნვის </w:t>
      </w:r>
      <w:r>
        <w:rPr>
          <w:rFonts w:ascii="Sylfaen" w:hAnsi="Sylfaen"/>
          <w:noProof/>
          <w:sz w:val="22"/>
          <w:szCs w:val="22"/>
        </w:rPr>
        <w:t>5</w:t>
      </w:r>
      <w:r>
        <w:rPr>
          <w:rFonts w:ascii="Sylfaen" w:hAnsi="Sylfaen"/>
          <w:noProof/>
          <w:sz w:val="22"/>
          <w:szCs w:val="22"/>
          <w:lang w:val="ka-GE"/>
        </w:rPr>
        <w:t>5</w:t>
      </w:r>
      <w:r w:rsidRPr="00DE2FED">
        <w:rPr>
          <w:rFonts w:ascii="Sylfaen" w:hAnsi="Sylfaen"/>
          <w:noProof/>
          <w:sz w:val="22"/>
          <w:szCs w:val="22"/>
        </w:rPr>
        <w:t xml:space="preserve"> </w:t>
      </w:r>
      <w:r w:rsidRPr="00DE2FED">
        <w:rPr>
          <w:rFonts w:ascii="Sylfaen" w:hAnsi="Sylfaen"/>
          <w:noProof/>
          <w:sz w:val="22"/>
          <w:szCs w:val="22"/>
          <w:lang w:val="ka-GE"/>
        </w:rPr>
        <w:t xml:space="preserve">პროცენტი </w:t>
      </w:r>
      <w:r w:rsidRPr="00DE2FED">
        <w:rPr>
          <w:rFonts w:ascii="Sylfaen" w:hAnsi="Sylfaen" w:cs="Sylfaen"/>
          <w:noProof/>
          <w:sz w:val="22"/>
          <w:szCs w:val="22"/>
          <w:lang w:val="es-ES"/>
        </w:rPr>
        <w:t>შეადგინა</w:t>
      </w:r>
      <w:r w:rsidRPr="00DE2FED">
        <w:rPr>
          <w:rFonts w:ascii="Sylfaen" w:hAnsi="Sylfaen"/>
          <w:noProof/>
          <w:sz w:val="22"/>
          <w:szCs w:val="22"/>
          <w:lang w:val="es-ES"/>
        </w:rPr>
        <w:t>.</w:t>
      </w:r>
    </w:p>
    <w:p w:rsidR="000271CF" w:rsidRPr="00E81F23" w:rsidRDefault="000271CF" w:rsidP="000271CF">
      <w:pPr>
        <w:pStyle w:val="Heading1"/>
        <w:spacing w:before="120" w:line="312" w:lineRule="auto"/>
        <w:ind w:left="-567" w:firstLine="0"/>
        <w:rPr>
          <w:rFonts w:ascii="Sylfaen" w:hAnsi="Sylfaen"/>
          <w:noProof/>
          <w:sz w:val="22"/>
          <w:szCs w:val="22"/>
          <w:lang w:val="ka-GE"/>
        </w:rPr>
      </w:pPr>
      <w:r w:rsidRPr="001B36B3">
        <w:rPr>
          <w:rFonts w:ascii="Sylfaen" w:hAnsi="Sylfaen"/>
          <w:noProof/>
          <w:sz w:val="22"/>
          <w:szCs w:val="22"/>
          <w:lang w:val="ka-GE"/>
        </w:rPr>
        <w:t xml:space="preserve">ამავე პერიოდში ექსპორტმა რეექსპორტის გარეშე </w:t>
      </w:r>
      <w:r>
        <w:rPr>
          <w:rFonts w:ascii="Sylfaen" w:hAnsi="Sylfaen"/>
          <w:noProof/>
          <w:sz w:val="22"/>
          <w:szCs w:val="22"/>
          <w:lang w:val="ka-GE"/>
        </w:rPr>
        <w:t>1</w:t>
      </w:r>
      <w:r>
        <w:rPr>
          <w:rFonts w:ascii="Sylfaen" w:hAnsi="Sylfaen"/>
          <w:noProof/>
          <w:sz w:val="22"/>
          <w:szCs w:val="22"/>
        </w:rPr>
        <w:t>657</w:t>
      </w:r>
      <w:r w:rsidRPr="001B36B3">
        <w:rPr>
          <w:rFonts w:ascii="Sylfaen" w:hAnsi="Sylfaen"/>
          <w:noProof/>
          <w:sz w:val="22"/>
          <w:szCs w:val="22"/>
          <w:lang w:val="ka-GE"/>
        </w:rPr>
        <w:t xml:space="preserve"> </w:t>
      </w:r>
      <w:r w:rsidRPr="001B36B3">
        <w:rPr>
          <w:rFonts w:ascii="Sylfaen" w:hAnsi="Sylfaen" w:cs="Sylfaen"/>
          <w:noProof/>
          <w:sz w:val="22"/>
          <w:szCs w:val="22"/>
          <w:lang w:val="es-ES"/>
        </w:rPr>
        <w:t>მლნ</w:t>
      </w:r>
      <w:r w:rsidRPr="001B36B3">
        <w:rPr>
          <w:rFonts w:ascii="Sylfaen" w:hAnsi="Sylfaen"/>
          <w:noProof/>
          <w:sz w:val="22"/>
          <w:szCs w:val="22"/>
          <w:lang w:val="es-ES"/>
        </w:rPr>
        <w:t xml:space="preserve">. </w:t>
      </w:r>
      <w:r w:rsidRPr="001B36B3">
        <w:rPr>
          <w:rFonts w:ascii="Sylfaen" w:hAnsi="Sylfaen" w:cs="Sylfaen"/>
          <w:noProof/>
          <w:sz w:val="22"/>
          <w:szCs w:val="22"/>
          <w:lang w:val="es-ES"/>
        </w:rPr>
        <w:t>აშშ</w:t>
      </w:r>
      <w:r w:rsidRPr="001B36B3">
        <w:rPr>
          <w:rFonts w:ascii="Sylfaen" w:hAnsi="Sylfaen"/>
          <w:noProof/>
          <w:sz w:val="22"/>
          <w:szCs w:val="22"/>
          <w:lang w:val="es-ES"/>
        </w:rPr>
        <w:t xml:space="preserve"> </w:t>
      </w:r>
      <w:r w:rsidRPr="001B36B3">
        <w:rPr>
          <w:rFonts w:ascii="Sylfaen" w:hAnsi="Sylfaen" w:cs="Sylfaen"/>
          <w:noProof/>
          <w:sz w:val="22"/>
          <w:szCs w:val="22"/>
          <w:lang w:val="es-ES"/>
        </w:rPr>
        <w:t>დოლარ</w:t>
      </w:r>
      <w:r w:rsidRPr="001B36B3">
        <w:rPr>
          <w:rFonts w:ascii="Sylfaen" w:hAnsi="Sylfaen" w:cs="Sylfaen"/>
          <w:noProof/>
          <w:sz w:val="22"/>
          <w:szCs w:val="22"/>
          <w:lang w:val="ka-GE"/>
        </w:rPr>
        <w:t>ი შეადგინა</w:t>
      </w:r>
      <w:r>
        <w:rPr>
          <w:rFonts w:ascii="Sylfaen" w:hAnsi="Sylfaen" w:cs="Sylfaen"/>
          <w:noProof/>
          <w:sz w:val="22"/>
          <w:szCs w:val="22"/>
          <w:lang w:val="ka-GE"/>
        </w:rPr>
        <w:t xml:space="preserve">, რაც </w:t>
      </w:r>
      <w:r>
        <w:rPr>
          <w:rFonts w:ascii="Sylfaen" w:hAnsi="Sylfaen" w:cs="Sylfaen"/>
          <w:noProof/>
          <w:sz w:val="22"/>
          <w:szCs w:val="22"/>
        </w:rPr>
        <w:t>1</w:t>
      </w:r>
      <w:r>
        <w:rPr>
          <w:rFonts w:ascii="Sylfaen" w:hAnsi="Sylfaen" w:cs="Sylfaen"/>
          <w:noProof/>
          <w:sz w:val="22"/>
          <w:szCs w:val="22"/>
          <w:lang w:val="ka-GE"/>
        </w:rPr>
        <w:t xml:space="preserve"> პროცენტით აღემატება წინა წლის შესაბამისი პერიოდის მაჩვენებელს.</w:t>
      </w:r>
    </w:p>
    <w:p w:rsidR="000271CF" w:rsidRDefault="000271CF" w:rsidP="000271CF">
      <w:pPr>
        <w:pStyle w:val="Heading1"/>
        <w:spacing w:before="120" w:line="312" w:lineRule="auto"/>
        <w:ind w:left="-567" w:firstLine="0"/>
        <w:rPr>
          <w:rFonts w:ascii="Sylfaen" w:hAnsi="Sylfaen"/>
          <w:noProof/>
          <w:sz w:val="22"/>
          <w:szCs w:val="22"/>
        </w:rPr>
      </w:pPr>
      <w:r w:rsidRPr="00DE2FED">
        <w:rPr>
          <w:rFonts w:ascii="Sylfaen" w:hAnsi="Sylfaen"/>
          <w:noProof/>
          <w:sz w:val="22"/>
          <w:szCs w:val="22"/>
          <w:lang w:val="ka-GE"/>
        </w:rPr>
        <w:t xml:space="preserve">საქართველოს </w:t>
      </w:r>
      <w:r>
        <w:rPr>
          <w:rFonts w:ascii="Sylfaen" w:hAnsi="Sylfaen"/>
          <w:noProof/>
          <w:sz w:val="22"/>
          <w:szCs w:val="22"/>
          <w:lang w:val="ka-GE"/>
        </w:rPr>
        <w:t xml:space="preserve">საგარეო ვაჭრობაში ჩამოყალიბებულ </w:t>
      </w:r>
      <w:r w:rsidRPr="00DE2FED">
        <w:rPr>
          <w:rFonts w:ascii="Sylfaen" w:hAnsi="Sylfaen"/>
          <w:noProof/>
          <w:sz w:val="22"/>
          <w:szCs w:val="22"/>
          <w:lang w:val="ka-GE"/>
        </w:rPr>
        <w:t>ზოგად ტენდენციებს ასახავს გრაფიკული გამოსახულება 201</w:t>
      </w:r>
      <w:r w:rsidRPr="00DE2FED">
        <w:rPr>
          <w:rFonts w:ascii="Sylfaen" w:hAnsi="Sylfaen"/>
          <w:noProof/>
          <w:sz w:val="22"/>
          <w:szCs w:val="22"/>
        </w:rPr>
        <w:t>1</w:t>
      </w:r>
      <w:r w:rsidRPr="00DE2FED">
        <w:rPr>
          <w:rFonts w:ascii="Sylfaen" w:hAnsi="Sylfaen"/>
          <w:noProof/>
          <w:sz w:val="22"/>
          <w:szCs w:val="22"/>
          <w:lang w:val="ka-GE"/>
        </w:rPr>
        <w:t>-2016</w:t>
      </w:r>
      <w:r>
        <w:rPr>
          <w:rFonts w:ascii="Sylfaen" w:hAnsi="Sylfaen"/>
          <w:noProof/>
          <w:sz w:val="22"/>
          <w:szCs w:val="22"/>
          <w:lang w:val="ka-GE"/>
        </w:rPr>
        <w:t xml:space="preserve"> წლების </w:t>
      </w:r>
      <w:r w:rsidRPr="00DE2FED">
        <w:rPr>
          <w:rFonts w:ascii="Sylfaen" w:hAnsi="Sylfaen"/>
          <w:noProof/>
          <w:sz w:val="22"/>
          <w:szCs w:val="22"/>
          <w:lang w:val="ka-GE"/>
        </w:rPr>
        <w:t>დინამიკური მწკრივის მიხედვით.</w:t>
      </w:r>
    </w:p>
    <w:p w:rsidR="004427B0" w:rsidRPr="004427B0" w:rsidRDefault="004427B0" w:rsidP="000271CF">
      <w:pPr>
        <w:spacing w:line="312" w:lineRule="auto"/>
        <w:ind w:left="-567"/>
      </w:pPr>
    </w:p>
    <w:p w:rsidR="00336EAE" w:rsidRPr="00336EAE" w:rsidRDefault="00BD0091" w:rsidP="000271CF">
      <w:pPr>
        <w:spacing w:line="312" w:lineRule="auto"/>
        <w:ind w:left="-567"/>
      </w:pPr>
      <w:r w:rsidRPr="00BD0091">
        <w:rPr>
          <w:noProof/>
        </w:rPr>
        <w:drawing>
          <wp:inline distT="0" distB="0" distL="0" distR="0">
            <wp:extent cx="5715000" cy="3271414"/>
            <wp:effectExtent l="19050" t="0" r="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34D4" w:rsidRPr="00336EAE" w:rsidRDefault="009334D4" w:rsidP="000271CF">
      <w:pPr>
        <w:spacing w:line="312" w:lineRule="auto"/>
        <w:ind w:left="-567"/>
        <w:jc w:val="both"/>
        <w:rPr>
          <w:rFonts w:ascii="Sylfaen" w:hAnsi="Sylfaen" w:cs="Arial"/>
          <w:sz w:val="18"/>
          <w:szCs w:val="18"/>
          <w:lang w:val="ka-GE"/>
        </w:rPr>
      </w:pPr>
      <w:r w:rsidRPr="00336EAE">
        <w:rPr>
          <w:rFonts w:ascii="Sylfaen" w:hAnsi="Sylfaen" w:cs="Arial"/>
          <w:sz w:val="18"/>
          <w:szCs w:val="18"/>
          <w:lang w:val="ka-GE"/>
        </w:rPr>
        <w:t>*წინასწარი მონაცემები.</w:t>
      </w:r>
    </w:p>
    <w:p w:rsidR="009334D4" w:rsidRPr="00AA041B" w:rsidRDefault="009334D4" w:rsidP="000271CF">
      <w:pPr>
        <w:spacing w:line="312" w:lineRule="auto"/>
        <w:ind w:left="-567"/>
        <w:rPr>
          <w:rFonts w:ascii="Sylfaen" w:eastAsia="Times New Roman" w:hAnsi="Sylfaen" w:cs="Sylfaen"/>
          <w:noProof/>
          <w:color w:val="FF0000"/>
          <w:lang w:val="es-ES"/>
        </w:rPr>
      </w:pPr>
      <w:r w:rsidRPr="00AA041B">
        <w:rPr>
          <w:rFonts w:ascii="Sylfaen" w:hAnsi="Sylfaen" w:cs="Sylfaen"/>
          <w:noProof/>
          <w:color w:val="FF0000"/>
          <w:lang w:val="es-ES"/>
        </w:rPr>
        <w:br w:type="page"/>
      </w:r>
    </w:p>
    <w:p w:rsidR="00BD0091" w:rsidRPr="000271CF" w:rsidRDefault="00BD0091" w:rsidP="000271CF">
      <w:pPr>
        <w:pStyle w:val="Heading1"/>
        <w:spacing w:line="312" w:lineRule="auto"/>
        <w:ind w:left="-567" w:firstLine="0"/>
        <w:rPr>
          <w:rFonts w:ascii="Sylfaen" w:hAnsi="Sylfaen" w:cs="Sylfaen"/>
          <w:noProof/>
          <w:sz w:val="22"/>
          <w:szCs w:val="22"/>
          <w:lang w:val="es-ES"/>
        </w:rPr>
      </w:pPr>
      <w:r>
        <w:rPr>
          <w:rFonts w:ascii="Sylfaen" w:hAnsi="Sylfaen" w:cs="Sylfaen"/>
          <w:noProof/>
          <w:sz w:val="22"/>
          <w:szCs w:val="22"/>
          <w:lang w:val="es-ES"/>
        </w:rPr>
        <w:lastRenderedPageBreak/>
        <w:t>2016</w:t>
      </w:r>
      <w:r w:rsidRPr="000D6691">
        <w:rPr>
          <w:rFonts w:ascii="Sylfaen" w:hAnsi="Sylfaen" w:cs="Sylfaen"/>
          <w:noProof/>
          <w:sz w:val="22"/>
          <w:szCs w:val="22"/>
          <w:lang w:val="es-ES"/>
        </w:rPr>
        <w:t xml:space="preserve"> </w:t>
      </w:r>
      <w:r>
        <w:rPr>
          <w:rFonts w:ascii="Sylfaen" w:hAnsi="Sylfaen" w:cs="Sylfaen"/>
          <w:noProof/>
          <w:sz w:val="22"/>
          <w:szCs w:val="22"/>
          <w:lang w:val="es-ES"/>
        </w:rPr>
        <w:t>წ</w:t>
      </w:r>
      <w:r>
        <w:rPr>
          <w:rFonts w:ascii="Sylfaen" w:hAnsi="Sylfaen" w:cs="Sylfaen"/>
          <w:noProof/>
          <w:sz w:val="22"/>
          <w:szCs w:val="22"/>
          <w:lang w:val="ka-GE"/>
        </w:rPr>
        <w:t>ე</w:t>
      </w:r>
      <w:r>
        <w:rPr>
          <w:rFonts w:ascii="Sylfaen" w:hAnsi="Sylfaen" w:cs="Sylfaen"/>
          <w:noProof/>
          <w:sz w:val="22"/>
          <w:szCs w:val="22"/>
          <w:lang w:val="es-ES"/>
        </w:rPr>
        <w:t>ლს</w:t>
      </w:r>
      <w:r>
        <w:rPr>
          <w:rFonts w:ascii="Sylfaen" w:hAnsi="Sylfaen" w:cs="Sylfaen"/>
          <w:noProof/>
          <w:sz w:val="22"/>
          <w:szCs w:val="22"/>
          <w:lang w:val="ka-GE"/>
        </w:rPr>
        <w:t xml:space="preserve"> </w:t>
      </w:r>
      <w:r w:rsidRPr="000D6691">
        <w:rPr>
          <w:rFonts w:ascii="Sylfaen" w:hAnsi="Sylfaen" w:cs="Sylfaen"/>
          <w:noProof/>
          <w:sz w:val="22"/>
          <w:szCs w:val="22"/>
          <w:lang w:val="es-ES"/>
        </w:rPr>
        <w:t>საქართველოს საგარეო სავაჭრო ბრუნვამ ევროკავში</w:t>
      </w:r>
      <w:r w:rsidRPr="000D6691">
        <w:rPr>
          <w:rFonts w:ascii="Sylfaen" w:hAnsi="Sylfaen" w:cs="Sylfaen"/>
          <w:noProof/>
          <w:sz w:val="22"/>
          <w:szCs w:val="22"/>
          <w:lang w:val="es-ES"/>
        </w:rPr>
        <w:softHyphen/>
        <w:t>რის ქვეყნებთან</w:t>
      </w:r>
      <w:r>
        <w:rPr>
          <w:rFonts w:ascii="Sylfaen" w:hAnsi="Sylfaen" w:cs="Sylfaen"/>
          <w:noProof/>
          <w:sz w:val="22"/>
          <w:szCs w:val="22"/>
          <w:lang w:val="ka-GE"/>
        </w:rPr>
        <w:t xml:space="preserve"> </w:t>
      </w:r>
      <w:r>
        <w:rPr>
          <w:rFonts w:ascii="Sylfaen" w:hAnsi="Sylfaen" w:cs="Sylfaen"/>
          <w:noProof/>
          <w:sz w:val="22"/>
          <w:szCs w:val="22"/>
        </w:rPr>
        <w:t>2784</w:t>
      </w:r>
      <w:r>
        <w:rPr>
          <w:rFonts w:ascii="Sylfaen" w:hAnsi="Sylfaen" w:cs="Sylfaen"/>
          <w:noProof/>
          <w:sz w:val="22"/>
          <w:szCs w:val="22"/>
          <w:lang w:val="ka-GE"/>
        </w:rPr>
        <w:t xml:space="preserve"> </w:t>
      </w:r>
      <w:r w:rsidRPr="000D6691">
        <w:rPr>
          <w:rFonts w:ascii="Sylfaen" w:hAnsi="Sylfaen" w:cs="Sylfaen"/>
          <w:noProof/>
          <w:sz w:val="22"/>
          <w:szCs w:val="22"/>
          <w:lang w:val="es-ES"/>
        </w:rPr>
        <w:t xml:space="preserve">მლნ. აშშ დოლარი შეადგინა, რაც წინა </w:t>
      </w:r>
      <w:r>
        <w:rPr>
          <w:rFonts w:ascii="Sylfaen" w:hAnsi="Sylfaen" w:cs="Sylfaen"/>
          <w:noProof/>
          <w:sz w:val="22"/>
          <w:szCs w:val="22"/>
          <w:lang w:val="es-ES"/>
        </w:rPr>
        <w:t>წლი</w:t>
      </w:r>
      <w:r>
        <w:rPr>
          <w:rFonts w:ascii="Sylfaen" w:hAnsi="Sylfaen" w:cs="Sylfaen"/>
          <w:noProof/>
          <w:sz w:val="22"/>
          <w:szCs w:val="22"/>
          <w:lang w:val="ka-GE"/>
        </w:rPr>
        <w:t xml:space="preserve">ს </w:t>
      </w:r>
      <w:r>
        <w:rPr>
          <w:rFonts w:ascii="Sylfaen" w:hAnsi="Sylfaen" w:cs="Sylfaen"/>
          <w:noProof/>
          <w:sz w:val="22"/>
          <w:szCs w:val="22"/>
          <w:lang w:val="es-ES"/>
        </w:rPr>
        <w:t>შესაბამის</w:t>
      </w:r>
      <w:r>
        <w:rPr>
          <w:rFonts w:ascii="Sylfaen" w:hAnsi="Sylfaen" w:cs="Sylfaen"/>
          <w:noProof/>
          <w:sz w:val="22"/>
          <w:szCs w:val="22"/>
          <w:lang w:val="ka-GE"/>
        </w:rPr>
        <w:t xml:space="preserve"> </w:t>
      </w:r>
      <w:r>
        <w:rPr>
          <w:rFonts w:ascii="Sylfaen" w:hAnsi="Sylfaen" w:cs="Sylfaen"/>
          <w:noProof/>
          <w:sz w:val="22"/>
          <w:szCs w:val="22"/>
          <w:lang w:val="es-ES"/>
        </w:rPr>
        <w:t>მაჩვენებელზე</w:t>
      </w:r>
      <w:r>
        <w:rPr>
          <w:rFonts w:ascii="Sylfaen" w:hAnsi="Sylfaen" w:cs="Sylfaen"/>
          <w:noProof/>
          <w:sz w:val="22"/>
          <w:szCs w:val="22"/>
          <w:lang w:val="ka-GE"/>
        </w:rPr>
        <w:t xml:space="preserve"> </w:t>
      </w:r>
      <w:r>
        <w:rPr>
          <w:rFonts w:ascii="Sylfaen" w:hAnsi="Sylfaen" w:cs="Sylfaen"/>
          <w:noProof/>
          <w:sz w:val="22"/>
          <w:szCs w:val="22"/>
        </w:rPr>
        <w:t>2</w:t>
      </w:r>
      <w:r>
        <w:rPr>
          <w:rFonts w:ascii="Sylfaen" w:hAnsi="Sylfaen" w:cs="Sylfaen"/>
          <w:noProof/>
          <w:sz w:val="22"/>
          <w:szCs w:val="22"/>
          <w:lang w:val="ka-GE"/>
        </w:rPr>
        <w:t xml:space="preserve"> </w:t>
      </w:r>
      <w:r w:rsidRPr="000D6691">
        <w:rPr>
          <w:rFonts w:ascii="Sylfaen" w:hAnsi="Sylfaen" w:cs="Sylfaen"/>
          <w:noProof/>
          <w:sz w:val="22"/>
          <w:szCs w:val="22"/>
          <w:lang w:val="es-ES"/>
        </w:rPr>
        <w:t xml:space="preserve">პროცენტით </w:t>
      </w:r>
      <w:r>
        <w:rPr>
          <w:rFonts w:ascii="Sylfaen" w:hAnsi="Sylfaen" w:cs="Sylfaen"/>
          <w:noProof/>
          <w:sz w:val="22"/>
          <w:szCs w:val="22"/>
          <w:lang w:val="ka-GE"/>
        </w:rPr>
        <w:t>მეტია</w:t>
      </w:r>
      <w:r>
        <w:rPr>
          <w:rFonts w:ascii="Sylfaen" w:hAnsi="Sylfaen" w:cs="Sylfaen"/>
          <w:noProof/>
          <w:sz w:val="22"/>
          <w:szCs w:val="22"/>
          <w:lang w:val="es-ES"/>
        </w:rPr>
        <w:t>. აქედან ექსპორტი</w:t>
      </w:r>
      <w:r>
        <w:rPr>
          <w:rFonts w:ascii="Sylfaen" w:hAnsi="Sylfaen" w:cs="Sylfaen"/>
          <w:noProof/>
          <w:sz w:val="22"/>
          <w:szCs w:val="22"/>
          <w:lang w:val="ka-GE"/>
        </w:rPr>
        <w:t xml:space="preserve"> 5</w:t>
      </w:r>
      <w:r>
        <w:rPr>
          <w:rFonts w:ascii="Sylfaen" w:hAnsi="Sylfaen" w:cs="Sylfaen"/>
          <w:noProof/>
          <w:sz w:val="22"/>
          <w:szCs w:val="22"/>
        </w:rPr>
        <w:t>71</w:t>
      </w:r>
      <w:r w:rsidRPr="000D6691">
        <w:rPr>
          <w:rFonts w:ascii="Sylfaen" w:hAnsi="Sylfaen" w:cs="Sylfaen"/>
          <w:noProof/>
          <w:sz w:val="22"/>
          <w:szCs w:val="22"/>
          <w:lang w:val="es-ES"/>
        </w:rPr>
        <w:t xml:space="preserve"> მლნ. აშშ დოლარი იყო (</w:t>
      </w:r>
      <w:r>
        <w:rPr>
          <w:rFonts w:ascii="Sylfaen" w:hAnsi="Sylfaen" w:cs="Sylfaen"/>
          <w:noProof/>
          <w:sz w:val="22"/>
          <w:szCs w:val="22"/>
          <w:lang w:val="ka-GE"/>
        </w:rPr>
        <w:t>1</w:t>
      </w:r>
      <w:r>
        <w:rPr>
          <w:rFonts w:ascii="Sylfaen" w:hAnsi="Sylfaen" w:cs="Sylfaen"/>
          <w:noProof/>
          <w:sz w:val="22"/>
          <w:szCs w:val="22"/>
        </w:rPr>
        <w:t>2</w:t>
      </w:r>
      <w:r>
        <w:rPr>
          <w:rFonts w:ascii="Sylfaen" w:hAnsi="Sylfaen" w:cs="Sylfaen"/>
          <w:noProof/>
          <w:sz w:val="22"/>
          <w:szCs w:val="22"/>
          <w:lang w:val="ka-GE"/>
        </w:rPr>
        <w:t xml:space="preserve"> </w:t>
      </w:r>
      <w:r>
        <w:rPr>
          <w:rFonts w:ascii="Sylfaen" w:hAnsi="Sylfaen" w:cs="Sylfaen"/>
          <w:noProof/>
          <w:sz w:val="22"/>
          <w:szCs w:val="22"/>
          <w:lang w:val="es-ES"/>
        </w:rPr>
        <w:t>პროცენტით</w:t>
      </w:r>
      <w:r>
        <w:rPr>
          <w:rFonts w:ascii="Sylfaen" w:hAnsi="Sylfaen" w:cs="Sylfaen"/>
          <w:noProof/>
          <w:sz w:val="22"/>
          <w:szCs w:val="22"/>
          <w:lang w:val="ka-GE"/>
        </w:rPr>
        <w:t xml:space="preserve"> ნაკლები</w:t>
      </w:r>
      <w:r>
        <w:rPr>
          <w:rFonts w:ascii="Sylfaen" w:hAnsi="Sylfaen" w:cs="Sylfaen"/>
          <w:noProof/>
          <w:sz w:val="22"/>
          <w:szCs w:val="22"/>
          <w:lang w:val="es-ES"/>
        </w:rPr>
        <w:t xml:space="preserve">), ხოლო იმპორტი </w:t>
      </w:r>
      <w:r>
        <w:rPr>
          <w:rFonts w:ascii="Sylfaen" w:hAnsi="Sylfaen" w:cs="Sylfaen"/>
          <w:noProof/>
          <w:sz w:val="22"/>
          <w:szCs w:val="22"/>
        </w:rPr>
        <w:t>2213</w:t>
      </w:r>
      <w:r>
        <w:rPr>
          <w:rFonts w:ascii="Sylfaen" w:hAnsi="Sylfaen" w:cs="Sylfaen"/>
          <w:noProof/>
          <w:sz w:val="22"/>
          <w:szCs w:val="22"/>
          <w:lang w:val="ka-GE"/>
        </w:rPr>
        <w:t xml:space="preserve"> </w:t>
      </w:r>
      <w:r>
        <w:rPr>
          <w:rFonts w:ascii="Sylfaen" w:hAnsi="Sylfaen" w:cs="Sylfaen"/>
          <w:noProof/>
          <w:sz w:val="22"/>
          <w:szCs w:val="22"/>
          <w:lang w:val="es-ES"/>
        </w:rPr>
        <w:t xml:space="preserve">მლნ. აშშ დოლარი </w:t>
      </w:r>
      <w:r w:rsidRPr="000D6691">
        <w:rPr>
          <w:rFonts w:ascii="Sylfaen" w:hAnsi="Sylfaen" w:cs="Sylfaen"/>
          <w:noProof/>
          <w:sz w:val="22"/>
          <w:szCs w:val="22"/>
          <w:lang w:val="es-ES"/>
        </w:rPr>
        <w:t>(</w:t>
      </w:r>
      <w:r>
        <w:rPr>
          <w:rFonts w:ascii="Sylfaen" w:hAnsi="Sylfaen" w:cs="Sylfaen"/>
          <w:noProof/>
          <w:sz w:val="22"/>
          <w:szCs w:val="22"/>
        </w:rPr>
        <w:t xml:space="preserve">6 </w:t>
      </w:r>
      <w:r w:rsidRPr="000D6691">
        <w:rPr>
          <w:rFonts w:ascii="Sylfaen" w:hAnsi="Sylfaen" w:cs="Sylfaen"/>
          <w:noProof/>
          <w:sz w:val="22"/>
          <w:szCs w:val="22"/>
          <w:lang w:val="es-ES"/>
        </w:rPr>
        <w:t xml:space="preserve">პროცენტით </w:t>
      </w:r>
      <w:r>
        <w:rPr>
          <w:rFonts w:ascii="Sylfaen" w:hAnsi="Sylfaen" w:cs="Sylfaen"/>
          <w:noProof/>
          <w:sz w:val="22"/>
          <w:szCs w:val="22"/>
          <w:lang w:val="ka-GE"/>
        </w:rPr>
        <w:t>მეტი</w:t>
      </w:r>
      <w:r w:rsidRPr="000D6691">
        <w:rPr>
          <w:rFonts w:ascii="Sylfaen" w:hAnsi="Sylfaen" w:cs="Sylfaen"/>
          <w:noProof/>
          <w:sz w:val="22"/>
          <w:szCs w:val="22"/>
          <w:lang w:val="es-ES"/>
        </w:rPr>
        <w:t>). საქართველოს საგარეო სავაჭრ</w:t>
      </w:r>
      <w:r>
        <w:rPr>
          <w:rFonts w:ascii="Sylfaen" w:hAnsi="Sylfaen" w:cs="Sylfaen"/>
          <w:noProof/>
          <w:sz w:val="22"/>
          <w:szCs w:val="22"/>
          <w:lang w:val="es-ES"/>
        </w:rPr>
        <w:t xml:space="preserve">ო ბრუნვაში ამ ქვეყნების წილმა </w:t>
      </w:r>
      <w:r>
        <w:rPr>
          <w:rFonts w:ascii="Sylfaen" w:hAnsi="Sylfaen" w:cs="Sylfaen"/>
          <w:noProof/>
          <w:sz w:val="22"/>
          <w:szCs w:val="22"/>
        </w:rPr>
        <w:t>30</w:t>
      </w:r>
      <w:r w:rsidRPr="000D6691">
        <w:rPr>
          <w:rFonts w:ascii="Sylfaen" w:hAnsi="Sylfaen" w:cs="Sylfaen"/>
          <w:noProof/>
          <w:sz w:val="22"/>
          <w:szCs w:val="22"/>
          <w:lang w:val="es-ES"/>
        </w:rPr>
        <w:t xml:space="preserve"> პროცენტი </w:t>
      </w:r>
      <w:r>
        <w:rPr>
          <w:rFonts w:ascii="Sylfaen" w:hAnsi="Sylfaen" w:cs="Sylfaen"/>
          <w:noProof/>
          <w:sz w:val="22"/>
          <w:szCs w:val="22"/>
          <w:lang w:val="es-ES"/>
        </w:rPr>
        <w:t xml:space="preserve">შეადგინა, მათ შორის ექსპორტში </w:t>
      </w:r>
      <w:r>
        <w:rPr>
          <w:rFonts w:ascii="Sylfaen" w:hAnsi="Sylfaen" w:cs="Sylfaen"/>
          <w:noProof/>
          <w:sz w:val="22"/>
          <w:szCs w:val="22"/>
          <w:lang w:val="ka-GE"/>
        </w:rPr>
        <w:t>2</w:t>
      </w:r>
      <w:r>
        <w:rPr>
          <w:rFonts w:ascii="Sylfaen" w:hAnsi="Sylfaen" w:cs="Sylfaen"/>
          <w:noProof/>
          <w:sz w:val="22"/>
          <w:szCs w:val="22"/>
        </w:rPr>
        <w:t>7</w:t>
      </w:r>
      <w:r>
        <w:rPr>
          <w:rFonts w:ascii="Sylfaen" w:hAnsi="Sylfaen" w:cs="Sylfaen"/>
          <w:noProof/>
          <w:sz w:val="22"/>
          <w:szCs w:val="22"/>
          <w:lang w:val="es-ES"/>
        </w:rPr>
        <w:t xml:space="preserve"> პროცენტი და იმპორტში </w:t>
      </w:r>
      <w:r>
        <w:rPr>
          <w:rFonts w:ascii="Sylfaen" w:hAnsi="Sylfaen" w:cs="Sylfaen"/>
          <w:noProof/>
          <w:sz w:val="22"/>
          <w:szCs w:val="22"/>
        </w:rPr>
        <w:t>30</w:t>
      </w:r>
      <w:r w:rsidRPr="000D6691">
        <w:rPr>
          <w:rFonts w:ascii="Sylfaen" w:hAnsi="Sylfaen" w:cs="Sylfaen"/>
          <w:noProof/>
          <w:sz w:val="22"/>
          <w:szCs w:val="22"/>
          <w:lang w:val="es-ES"/>
        </w:rPr>
        <w:t xml:space="preserve"> პროცენტი (</w:t>
      </w:r>
      <w:r>
        <w:rPr>
          <w:rFonts w:ascii="Sylfaen" w:hAnsi="Sylfaen" w:cs="Sylfaen"/>
          <w:noProof/>
          <w:sz w:val="22"/>
          <w:szCs w:val="22"/>
          <w:lang w:val="es-ES"/>
        </w:rPr>
        <w:t>2015</w:t>
      </w:r>
      <w:r>
        <w:rPr>
          <w:rFonts w:ascii="Sylfaen" w:hAnsi="Sylfaen" w:cs="Sylfaen"/>
          <w:noProof/>
          <w:sz w:val="22"/>
          <w:szCs w:val="22"/>
          <w:lang w:val="ka-GE"/>
        </w:rPr>
        <w:t xml:space="preserve"> </w:t>
      </w:r>
      <w:r>
        <w:rPr>
          <w:rFonts w:ascii="Sylfaen" w:hAnsi="Sylfaen" w:cs="Sylfaen"/>
          <w:noProof/>
          <w:sz w:val="22"/>
          <w:szCs w:val="22"/>
          <w:lang w:val="es-ES"/>
        </w:rPr>
        <w:t>წ</w:t>
      </w:r>
      <w:r>
        <w:rPr>
          <w:rFonts w:ascii="Sylfaen" w:hAnsi="Sylfaen" w:cs="Sylfaen"/>
          <w:noProof/>
          <w:sz w:val="22"/>
          <w:szCs w:val="22"/>
          <w:lang w:val="ka-GE"/>
        </w:rPr>
        <w:t>ე</w:t>
      </w:r>
      <w:r>
        <w:rPr>
          <w:rFonts w:ascii="Sylfaen" w:hAnsi="Sylfaen" w:cs="Sylfaen"/>
          <w:noProof/>
          <w:sz w:val="22"/>
          <w:szCs w:val="22"/>
          <w:lang w:val="es-ES"/>
        </w:rPr>
        <w:t xml:space="preserve">ლს შესაბამისად </w:t>
      </w:r>
      <w:r>
        <w:rPr>
          <w:rFonts w:ascii="Sylfaen" w:hAnsi="Sylfaen" w:cs="Sylfaen"/>
          <w:noProof/>
          <w:sz w:val="22"/>
          <w:szCs w:val="22"/>
        </w:rPr>
        <w:t>29</w:t>
      </w:r>
      <w:r>
        <w:rPr>
          <w:rFonts w:ascii="Sylfaen" w:hAnsi="Sylfaen" w:cs="Sylfaen"/>
          <w:noProof/>
          <w:sz w:val="22"/>
          <w:szCs w:val="22"/>
          <w:lang w:val="es-ES"/>
        </w:rPr>
        <w:t xml:space="preserve">, </w:t>
      </w:r>
      <w:r>
        <w:rPr>
          <w:rFonts w:ascii="Sylfaen" w:hAnsi="Sylfaen" w:cs="Sylfaen"/>
          <w:noProof/>
          <w:sz w:val="22"/>
          <w:szCs w:val="22"/>
        </w:rPr>
        <w:t>29</w:t>
      </w:r>
      <w:r>
        <w:rPr>
          <w:rFonts w:ascii="Sylfaen" w:hAnsi="Sylfaen" w:cs="Sylfaen"/>
          <w:noProof/>
          <w:sz w:val="22"/>
          <w:szCs w:val="22"/>
          <w:lang w:val="es-ES"/>
        </w:rPr>
        <w:t xml:space="preserve"> და </w:t>
      </w:r>
      <w:r>
        <w:rPr>
          <w:rFonts w:ascii="Sylfaen" w:hAnsi="Sylfaen" w:cs="Sylfaen"/>
          <w:noProof/>
          <w:sz w:val="22"/>
          <w:szCs w:val="22"/>
        </w:rPr>
        <w:t>28</w:t>
      </w:r>
      <w:r>
        <w:rPr>
          <w:rFonts w:ascii="Sylfaen" w:hAnsi="Sylfaen" w:cs="Sylfaen"/>
          <w:noProof/>
          <w:sz w:val="22"/>
          <w:szCs w:val="22"/>
          <w:lang w:val="ka-GE"/>
        </w:rPr>
        <w:t xml:space="preserve"> </w:t>
      </w:r>
      <w:r w:rsidRPr="000D6691">
        <w:rPr>
          <w:rFonts w:ascii="Sylfaen" w:hAnsi="Sylfaen" w:cs="Sylfaen"/>
          <w:noProof/>
          <w:sz w:val="22"/>
          <w:szCs w:val="22"/>
          <w:lang w:val="es-ES"/>
        </w:rPr>
        <w:t>პროცენტი). ევროკავშირის ქვეყნებ</w:t>
      </w:r>
      <w:r>
        <w:rPr>
          <w:rFonts w:ascii="Sylfaen" w:hAnsi="Sylfaen" w:cs="Sylfaen"/>
          <w:noProof/>
          <w:sz w:val="22"/>
          <w:szCs w:val="22"/>
          <w:lang w:val="es-ES"/>
        </w:rPr>
        <w:t xml:space="preserve">ზე მოდიოდა სავაჭრო დეფიციტის </w:t>
      </w:r>
      <w:r>
        <w:rPr>
          <w:rFonts w:ascii="Sylfaen" w:hAnsi="Sylfaen" w:cs="Sylfaen"/>
          <w:noProof/>
          <w:sz w:val="22"/>
          <w:szCs w:val="22"/>
        </w:rPr>
        <w:t>32</w:t>
      </w:r>
      <w:r>
        <w:rPr>
          <w:rFonts w:ascii="Sylfaen" w:hAnsi="Sylfaen" w:cs="Sylfaen"/>
          <w:noProof/>
          <w:sz w:val="22"/>
          <w:szCs w:val="22"/>
          <w:lang w:val="ka-GE"/>
        </w:rPr>
        <w:t xml:space="preserve"> </w:t>
      </w:r>
      <w:r w:rsidRPr="000D6691">
        <w:rPr>
          <w:rFonts w:ascii="Sylfaen" w:hAnsi="Sylfaen" w:cs="Sylfaen"/>
          <w:noProof/>
          <w:sz w:val="22"/>
          <w:szCs w:val="22"/>
          <w:lang w:val="es-ES"/>
        </w:rPr>
        <w:t>პროცენტი (</w:t>
      </w:r>
      <w:r>
        <w:rPr>
          <w:rFonts w:ascii="Sylfaen" w:hAnsi="Sylfaen" w:cs="Sylfaen"/>
          <w:noProof/>
          <w:sz w:val="22"/>
          <w:szCs w:val="22"/>
          <w:lang w:val="es-ES"/>
        </w:rPr>
        <w:t>2015</w:t>
      </w:r>
      <w:r w:rsidRPr="000D6691">
        <w:rPr>
          <w:rFonts w:ascii="Sylfaen" w:hAnsi="Sylfaen" w:cs="Sylfaen"/>
          <w:noProof/>
          <w:sz w:val="22"/>
          <w:szCs w:val="22"/>
          <w:lang w:val="es-ES"/>
        </w:rPr>
        <w:t xml:space="preserve"> </w:t>
      </w:r>
      <w:r>
        <w:rPr>
          <w:rFonts w:ascii="Sylfaen" w:hAnsi="Sylfaen" w:cs="Sylfaen"/>
          <w:noProof/>
          <w:sz w:val="22"/>
          <w:szCs w:val="22"/>
          <w:lang w:val="es-ES"/>
        </w:rPr>
        <w:t>წ</w:t>
      </w:r>
      <w:r>
        <w:rPr>
          <w:rFonts w:ascii="Sylfaen" w:hAnsi="Sylfaen" w:cs="Sylfaen"/>
          <w:noProof/>
          <w:sz w:val="22"/>
          <w:szCs w:val="22"/>
          <w:lang w:val="ka-GE"/>
        </w:rPr>
        <w:t>ე</w:t>
      </w:r>
      <w:r>
        <w:rPr>
          <w:rFonts w:ascii="Sylfaen" w:hAnsi="Sylfaen" w:cs="Sylfaen"/>
          <w:noProof/>
          <w:sz w:val="22"/>
          <w:szCs w:val="22"/>
          <w:lang w:val="es-ES"/>
        </w:rPr>
        <w:t xml:space="preserve">ლს </w:t>
      </w:r>
      <w:r>
        <w:rPr>
          <w:rFonts w:ascii="Sylfaen" w:hAnsi="Sylfaen" w:cs="Sylfaen"/>
          <w:noProof/>
          <w:sz w:val="22"/>
          <w:szCs w:val="22"/>
        </w:rPr>
        <w:t xml:space="preserve">28 </w:t>
      </w:r>
      <w:r w:rsidRPr="000D6691">
        <w:rPr>
          <w:rFonts w:ascii="Sylfaen" w:hAnsi="Sylfaen" w:cs="Sylfaen"/>
          <w:noProof/>
          <w:sz w:val="22"/>
          <w:szCs w:val="22"/>
          <w:lang w:val="es-ES"/>
        </w:rPr>
        <w:t>პროცენტი).</w:t>
      </w:r>
    </w:p>
    <w:p w:rsidR="00BD0091" w:rsidRPr="0031699B" w:rsidRDefault="00BD0091" w:rsidP="000271CF">
      <w:pPr>
        <w:pStyle w:val="Heading1"/>
        <w:spacing w:before="200" w:line="312" w:lineRule="auto"/>
        <w:ind w:left="-567" w:firstLine="0"/>
        <w:rPr>
          <w:rFonts w:ascii="Sylfaen" w:hAnsi="Sylfaen" w:cs="Sylfaen"/>
          <w:noProof/>
          <w:color w:val="000000"/>
          <w:sz w:val="22"/>
          <w:szCs w:val="22"/>
          <w:lang w:val="ka-GE"/>
        </w:rPr>
      </w:pPr>
      <w:r>
        <w:rPr>
          <w:rFonts w:ascii="Sylfaen" w:hAnsi="Sylfaen" w:cs="Sylfaen"/>
          <w:noProof/>
          <w:color w:val="000000"/>
          <w:sz w:val="22"/>
          <w:szCs w:val="22"/>
          <w:lang w:val="es-ES"/>
        </w:rPr>
        <w:t>დსთ</w:t>
      </w:r>
      <w:r w:rsidRPr="000D6691">
        <w:rPr>
          <w:rFonts w:ascii="Sylfaen" w:hAnsi="Sylfaen" w:cs="Sylfaen"/>
          <w:noProof/>
          <w:color w:val="000000"/>
          <w:sz w:val="22"/>
          <w:szCs w:val="22"/>
          <w:lang w:val="es-ES"/>
        </w:rPr>
        <w:t>-</w:t>
      </w:r>
      <w:r>
        <w:rPr>
          <w:rFonts w:ascii="Sylfaen" w:hAnsi="Sylfaen" w:cs="Sylfaen"/>
          <w:noProof/>
          <w:color w:val="000000"/>
          <w:sz w:val="22"/>
          <w:szCs w:val="22"/>
          <w:lang w:val="es-ES"/>
        </w:rPr>
        <w:t>ის</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ქვეყნებთან</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საგარეო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სავაჭრო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ბრუნვამ</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2016</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წ</w:t>
      </w:r>
      <w:r>
        <w:rPr>
          <w:rFonts w:ascii="Sylfaen" w:hAnsi="Sylfaen" w:cs="Sylfaen"/>
          <w:noProof/>
          <w:color w:val="000000"/>
          <w:sz w:val="22"/>
          <w:szCs w:val="22"/>
          <w:lang w:val="ka-GE"/>
        </w:rPr>
        <w:t>ე</w:t>
      </w:r>
      <w:r>
        <w:rPr>
          <w:rFonts w:ascii="Sylfaen" w:hAnsi="Sylfaen" w:cs="Sylfaen"/>
          <w:noProof/>
          <w:color w:val="000000"/>
          <w:sz w:val="22"/>
          <w:szCs w:val="22"/>
          <w:lang w:val="es-ES"/>
        </w:rPr>
        <w:t xml:space="preserve">ლს </w:t>
      </w:r>
      <w:r>
        <w:rPr>
          <w:rFonts w:ascii="Sylfaen" w:hAnsi="Sylfaen" w:cs="Sylfaen"/>
          <w:noProof/>
          <w:color w:val="000000"/>
          <w:sz w:val="22"/>
          <w:szCs w:val="22"/>
        </w:rPr>
        <w:t>2717</w:t>
      </w:r>
      <w:r w:rsidRPr="006A18D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მლნ</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აშშ</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დოლარი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შეადგინა</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2015</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წ</w:t>
      </w:r>
      <w:r>
        <w:rPr>
          <w:rFonts w:ascii="Sylfaen" w:hAnsi="Sylfaen" w:cs="Sylfaen"/>
          <w:noProof/>
          <w:color w:val="000000"/>
          <w:sz w:val="22"/>
          <w:szCs w:val="22"/>
          <w:lang w:val="ka-GE"/>
        </w:rPr>
        <w:t>ე</w:t>
      </w:r>
      <w:r>
        <w:rPr>
          <w:rFonts w:ascii="Sylfaen" w:hAnsi="Sylfaen" w:cs="Sylfaen"/>
          <w:noProof/>
          <w:color w:val="000000"/>
          <w:sz w:val="22"/>
          <w:szCs w:val="22"/>
          <w:lang w:val="es-ES"/>
        </w:rPr>
        <w:t>ლ</w:t>
      </w:r>
      <w:r>
        <w:rPr>
          <w:rFonts w:ascii="Sylfaen" w:hAnsi="Sylfaen" w:cs="Sylfaen"/>
          <w:noProof/>
          <w:color w:val="000000"/>
          <w:sz w:val="22"/>
          <w:szCs w:val="22"/>
          <w:lang w:val="ka-GE"/>
        </w:rPr>
        <w:t>თან</w:t>
      </w:r>
      <w:r>
        <w:rPr>
          <w:rFonts w:ascii="Sylfaen" w:hAnsi="Sylfaen" w:cs="Sylfaen"/>
          <w:noProof/>
          <w:color w:val="000000"/>
          <w:sz w:val="22"/>
          <w:szCs w:val="22"/>
          <w:lang w:val="es-ES"/>
        </w:rPr>
        <w:t xml:space="preserve"> შედარებით</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ka-GE"/>
        </w:rPr>
        <w:t>3</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 xml:space="preserve">პროცენტით </w:t>
      </w:r>
      <w:r>
        <w:rPr>
          <w:rFonts w:ascii="Sylfaen" w:hAnsi="Sylfaen" w:cs="Sylfaen"/>
          <w:noProof/>
          <w:color w:val="000000"/>
          <w:sz w:val="22"/>
          <w:szCs w:val="22"/>
          <w:lang w:val="ka-GE"/>
        </w:rPr>
        <w:t>ნაკლები</w:t>
      </w:r>
      <w:r w:rsidRPr="000D6691">
        <w:rPr>
          <w:rFonts w:ascii="Sylfaen" w:hAnsi="Sylfaen" w:cs="Sylfaen"/>
          <w:noProof/>
          <w:color w:val="000000"/>
          <w:sz w:val="22"/>
          <w:szCs w:val="22"/>
          <w:lang w:val="es-ES"/>
        </w:rPr>
        <w:t>)</w:t>
      </w:r>
      <w:r>
        <w:rPr>
          <w:rFonts w:ascii="Sylfaen" w:hAnsi="Sylfaen" w:cs="Sylfaen"/>
          <w:noProof/>
          <w:color w:val="000000"/>
          <w:sz w:val="22"/>
          <w:szCs w:val="22"/>
          <w:lang w:val="es-ES"/>
        </w:rPr>
        <w:t>.</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აქედან</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ექსპორტ</w:t>
      </w:r>
      <w:r>
        <w:rPr>
          <w:rFonts w:ascii="Sylfaen" w:hAnsi="Sylfaen" w:cs="Sylfaen"/>
          <w:noProof/>
          <w:color w:val="000000"/>
          <w:sz w:val="22"/>
          <w:szCs w:val="22"/>
          <w:lang w:val="ka-GE"/>
        </w:rPr>
        <w:t>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ka-GE"/>
        </w:rPr>
        <w:t>73</w:t>
      </w:r>
      <w:r>
        <w:rPr>
          <w:rFonts w:ascii="Sylfaen" w:hAnsi="Sylfaen" w:cs="Sylfaen"/>
          <w:noProof/>
          <w:color w:val="000000"/>
          <w:sz w:val="22"/>
          <w:szCs w:val="22"/>
        </w:rPr>
        <w:t>8</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მლნ</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აშშ</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დოლარ</w:t>
      </w:r>
      <w:r>
        <w:rPr>
          <w:rFonts w:ascii="Sylfaen" w:hAnsi="Sylfaen" w:cs="Sylfaen"/>
          <w:noProof/>
          <w:color w:val="000000"/>
          <w:sz w:val="22"/>
          <w:szCs w:val="22"/>
          <w:lang w:val="ka-GE"/>
        </w:rPr>
        <w:t xml:space="preserve">ი </w:t>
      </w:r>
      <w:r>
        <w:rPr>
          <w:rFonts w:ascii="Sylfaen" w:hAnsi="Sylfaen" w:cs="Sylfaen"/>
          <w:noProof/>
          <w:color w:val="000000"/>
          <w:sz w:val="22"/>
          <w:szCs w:val="22"/>
          <w:lang w:val="es-ES"/>
        </w:rPr>
        <w:t>(</w:t>
      </w:r>
      <w:r>
        <w:rPr>
          <w:rFonts w:ascii="Sylfaen" w:hAnsi="Sylfaen" w:cs="Sylfaen"/>
          <w:noProof/>
          <w:color w:val="000000"/>
          <w:sz w:val="22"/>
          <w:szCs w:val="22"/>
        </w:rPr>
        <w:t>1</w:t>
      </w:r>
      <w:r>
        <w:rPr>
          <w:rFonts w:ascii="Sylfaen" w:hAnsi="Sylfaen" w:cs="Sylfaen"/>
          <w:noProof/>
          <w:color w:val="000000"/>
          <w:sz w:val="22"/>
          <w:szCs w:val="22"/>
          <w:lang w:val="ka-GE"/>
        </w:rPr>
        <w:t xml:space="preserve">2 </w:t>
      </w:r>
      <w:r>
        <w:rPr>
          <w:rFonts w:ascii="Sylfaen" w:hAnsi="Sylfaen" w:cs="Sylfaen"/>
          <w:noProof/>
          <w:color w:val="000000"/>
          <w:sz w:val="22"/>
          <w:szCs w:val="22"/>
          <w:lang w:val="es-ES"/>
        </w:rPr>
        <w:t>პროცენტით</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ka-GE"/>
        </w:rPr>
        <w:t>ნაკლები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ხოლო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იმპორტ</w:t>
      </w:r>
      <w:r>
        <w:rPr>
          <w:rFonts w:ascii="Sylfaen" w:hAnsi="Sylfaen" w:cs="Sylfaen"/>
          <w:noProof/>
          <w:color w:val="000000"/>
          <w:sz w:val="22"/>
          <w:szCs w:val="22"/>
          <w:lang w:val="ka-GE"/>
        </w:rPr>
        <w:t>ი 19</w:t>
      </w:r>
      <w:r>
        <w:rPr>
          <w:rFonts w:ascii="Sylfaen" w:hAnsi="Sylfaen" w:cs="Sylfaen"/>
          <w:noProof/>
          <w:color w:val="000000"/>
          <w:sz w:val="22"/>
          <w:szCs w:val="22"/>
        </w:rPr>
        <w:t>80</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მლნ</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აშშ</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დოლარ</w:t>
      </w:r>
      <w:r>
        <w:rPr>
          <w:rFonts w:ascii="Sylfaen" w:hAnsi="Sylfaen" w:cs="Sylfaen"/>
          <w:noProof/>
          <w:color w:val="000000"/>
          <w:sz w:val="22"/>
          <w:szCs w:val="22"/>
          <w:lang w:val="ka-GE"/>
        </w:rPr>
        <w:t>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ka-GE"/>
        </w:rPr>
        <w:t>იყო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ka-GE"/>
        </w:rPr>
        <w:t>1</w:t>
      </w:r>
      <w:r>
        <w:rPr>
          <w:rFonts w:ascii="Sylfaen" w:hAnsi="Sylfaen" w:cs="Sylfaen"/>
          <w:noProof/>
          <w:color w:val="000000"/>
          <w:sz w:val="22"/>
          <w:szCs w:val="22"/>
        </w:rPr>
        <w:t xml:space="preserve"> </w:t>
      </w:r>
      <w:r>
        <w:rPr>
          <w:rFonts w:ascii="Sylfaen" w:hAnsi="Sylfaen" w:cs="Sylfaen"/>
          <w:noProof/>
          <w:color w:val="000000"/>
          <w:sz w:val="22"/>
          <w:szCs w:val="22"/>
          <w:lang w:val="es-ES"/>
        </w:rPr>
        <w:t>პროცენტით</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ka-GE"/>
        </w:rPr>
        <w:t>მეტი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საქართველოს</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საგარეო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სავაჭრო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ბრუნვაში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დსთ</w:t>
      </w:r>
      <w:r w:rsidRPr="000D6691">
        <w:rPr>
          <w:rFonts w:ascii="Sylfaen" w:hAnsi="Sylfaen" w:cs="Sylfaen"/>
          <w:noProof/>
          <w:color w:val="000000"/>
          <w:sz w:val="22"/>
          <w:szCs w:val="22"/>
          <w:lang w:val="es-ES"/>
        </w:rPr>
        <w:t>-</w:t>
      </w:r>
      <w:r>
        <w:rPr>
          <w:rFonts w:ascii="Sylfaen" w:hAnsi="Sylfaen" w:cs="Sylfaen"/>
          <w:noProof/>
          <w:color w:val="000000"/>
          <w:sz w:val="22"/>
          <w:szCs w:val="22"/>
          <w:lang w:val="es-ES"/>
        </w:rPr>
        <w:t>ის</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ქვეყნების</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 xml:space="preserve">წილი </w:t>
      </w:r>
      <w:r>
        <w:rPr>
          <w:rFonts w:ascii="Sylfaen" w:hAnsi="Sylfaen" w:cs="Sylfaen"/>
          <w:noProof/>
          <w:color w:val="000000"/>
          <w:sz w:val="22"/>
          <w:szCs w:val="22"/>
          <w:lang w:val="ka-GE"/>
        </w:rPr>
        <w:t>2</w:t>
      </w:r>
      <w:r>
        <w:rPr>
          <w:rFonts w:ascii="Sylfaen" w:hAnsi="Sylfaen" w:cs="Sylfaen"/>
          <w:noProof/>
          <w:color w:val="000000"/>
          <w:sz w:val="22"/>
          <w:szCs w:val="22"/>
        </w:rPr>
        <w:t>9</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პროცენტი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იყო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მათ</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შორის</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ექსპორტში</w:t>
      </w:r>
      <w:r>
        <w:rPr>
          <w:rFonts w:ascii="Sylfaen" w:hAnsi="Sylfaen" w:cs="Sylfaen"/>
          <w:noProof/>
          <w:color w:val="000000"/>
          <w:sz w:val="22"/>
          <w:szCs w:val="22"/>
          <w:lang w:val="ka-GE"/>
        </w:rPr>
        <w:t xml:space="preserve"> 35 </w:t>
      </w:r>
      <w:r>
        <w:rPr>
          <w:rFonts w:ascii="Sylfaen" w:hAnsi="Sylfaen" w:cs="Sylfaen"/>
          <w:noProof/>
          <w:color w:val="000000"/>
          <w:sz w:val="22"/>
          <w:szCs w:val="22"/>
          <w:lang w:val="es-ES"/>
        </w:rPr>
        <w:t>პროცენტი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და</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 xml:space="preserve">იმპორტში </w:t>
      </w:r>
      <w:r>
        <w:rPr>
          <w:rFonts w:ascii="Sylfaen" w:hAnsi="Sylfaen" w:cs="Sylfaen"/>
          <w:noProof/>
          <w:color w:val="000000"/>
          <w:sz w:val="22"/>
          <w:szCs w:val="22"/>
          <w:lang w:val="ka-GE"/>
        </w:rPr>
        <w:t>2</w:t>
      </w:r>
      <w:r>
        <w:rPr>
          <w:rFonts w:ascii="Sylfaen" w:hAnsi="Sylfaen" w:cs="Sylfaen"/>
          <w:noProof/>
          <w:color w:val="000000"/>
          <w:sz w:val="22"/>
          <w:szCs w:val="22"/>
        </w:rPr>
        <w:t>7</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პროცენტი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2015</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წელს</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 xml:space="preserve">შესაბამისად </w:t>
      </w:r>
      <w:r>
        <w:rPr>
          <w:rFonts w:ascii="Sylfaen" w:hAnsi="Sylfaen" w:cs="Sylfaen"/>
          <w:noProof/>
          <w:color w:val="000000"/>
          <w:sz w:val="22"/>
          <w:szCs w:val="22"/>
        </w:rPr>
        <w:t>30</w:t>
      </w:r>
      <w:r>
        <w:rPr>
          <w:rFonts w:ascii="Sylfaen" w:hAnsi="Sylfaen" w:cs="Sylfaen"/>
          <w:noProof/>
          <w:color w:val="000000"/>
          <w:sz w:val="22"/>
          <w:szCs w:val="22"/>
          <w:lang w:val="es-ES"/>
        </w:rPr>
        <w:t>,</w:t>
      </w:r>
      <w:r>
        <w:rPr>
          <w:rFonts w:ascii="Sylfaen" w:hAnsi="Sylfaen" w:cs="Sylfaen"/>
          <w:noProof/>
          <w:color w:val="000000"/>
          <w:sz w:val="22"/>
          <w:szCs w:val="22"/>
          <w:lang w:val="ka-GE"/>
        </w:rPr>
        <w:t xml:space="preserve"> 3</w:t>
      </w:r>
      <w:r>
        <w:rPr>
          <w:rFonts w:ascii="Sylfaen" w:hAnsi="Sylfaen" w:cs="Sylfaen"/>
          <w:noProof/>
          <w:color w:val="000000"/>
          <w:sz w:val="22"/>
          <w:szCs w:val="22"/>
        </w:rPr>
        <w:t>8</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და</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2</w:t>
      </w:r>
      <w:r>
        <w:rPr>
          <w:rFonts w:ascii="Sylfaen" w:hAnsi="Sylfaen" w:cs="Sylfaen"/>
          <w:noProof/>
          <w:color w:val="000000"/>
          <w:sz w:val="22"/>
          <w:szCs w:val="22"/>
        </w:rPr>
        <w:t>7</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პროცენტი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2016 წელს დსთ</w:t>
      </w:r>
      <w:r w:rsidRPr="000D6691">
        <w:rPr>
          <w:rFonts w:ascii="Sylfaen" w:hAnsi="Sylfaen" w:cs="Sylfaen"/>
          <w:noProof/>
          <w:color w:val="000000"/>
          <w:sz w:val="22"/>
          <w:szCs w:val="22"/>
          <w:lang w:val="es-ES"/>
        </w:rPr>
        <w:t>-</w:t>
      </w:r>
      <w:r>
        <w:rPr>
          <w:rFonts w:ascii="Sylfaen" w:hAnsi="Sylfaen" w:cs="Sylfaen"/>
          <w:noProof/>
          <w:color w:val="000000"/>
          <w:sz w:val="22"/>
          <w:szCs w:val="22"/>
          <w:lang w:val="es-ES"/>
        </w:rPr>
        <w:t>ის</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ქვეყნებზე</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მოდიოდა</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სავაჭრო</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 xml:space="preserve">დეფიციტის </w:t>
      </w:r>
      <w:r>
        <w:rPr>
          <w:rFonts w:ascii="Sylfaen" w:hAnsi="Sylfaen" w:cs="Sylfaen"/>
          <w:noProof/>
          <w:color w:val="000000"/>
          <w:sz w:val="22"/>
          <w:szCs w:val="22"/>
        </w:rPr>
        <w:t>24</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პროცენტი</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2015</w:t>
      </w:r>
      <w:r w:rsidRPr="000D6691">
        <w:rPr>
          <w:rFonts w:ascii="Sylfaen" w:hAnsi="Sylfaen" w:cs="Sylfaen"/>
          <w:noProof/>
          <w:color w:val="000000"/>
          <w:sz w:val="22"/>
          <w:szCs w:val="22"/>
          <w:lang w:val="es-ES"/>
        </w:rPr>
        <w:t xml:space="preserve"> </w:t>
      </w:r>
      <w:r>
        <w:rPr>
          <w:rFonts w:ascii="Sylfaen" w:hAnsi="Sylfaen" w:cs="Sylfaen"/>
          <w:noProof/>
          <w:color w:val="000000"/>
          <w:sz w:val="22"/>
          <w:szCs w:val="22"/>
          <w:lang w:val="es-ES"/>
        </w:rPr>
        <w:t xml:space="preserve">წელს </w:t>
      </w:r>
      <w:r>
        <w:rPr>
          <w:rFonts w:ascii="Sylfaen" w:hAnsi="Sylfaen" w:cs="Sylfaen"/>
          <w:noProof/>
          <w:color w:val="000000"/>
          <w:sz w:val="22"/>
          <w:szCs w:val="22"/>
          <w:lang w:val="ka-GE"/>
        </w:rPr>
        <w:t>2</w:t>
      </w:r>
      <w:r>
        <w:rPr>
          <w:rFonts w:ascii="Sylfaen" w:hAnsi="Sylfaen" w:cs="Sylfaen"/>
          <w:noProof/>
          <w:color w:val="000000"/>
          <w:sz w:val="22"/>
          <w:szCs w:val="22"/>
        </w:rPr>
        <w:t>2</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პროცენტი</w:t>
      </w:r>
      <w:r w:rsidRPr="000D6691">
        <w:rPr>
          <w:rFonts w:ascii="Sylfaen" w:hAnsi="Sylfaen" w:cs="Sylfaen"/>
          <w:noProof/>
          <w:color w:val="000000"/>
          <w:sz w:val="22"/>
          <w:szCs w:val="22"/>
          <w:lang w:val="es-ES"/>
        </w:rPr>
        <w:t>).</w:t>
      </w:r>
    </w:p>
    <w:p w:rsidR="00BD0091" w:rsidRDefault="00BD0091" w:rsidP="000271CF">
      <w:pPr>
        <w:spacing w:before="120" w:line="312" w:lineRule="auto"/>
        <w:ind w:left="-567"/>
        <w:jc w:val="both"/>
        <w:rPr>
          <w:rFonts w:ascii="Sylfaen" w:hAnsi="Sylfaen"/>
        </w:rPr>
      </w:pPr>
      <w:r>
        <w:rPr>
          <w:rFonts w:ascii="Sylfaen" w:hAnsi="Sylfaen"/>
          <w:lang w:val="ka-GE"/>
        </w:rPr>
        <w:t xml:space="preserve">ქვემოთ მოცემული დიაგრამა გვიჩვენებს ქვეყნების ჯგუფების წილს საქართველოს მთლიან </w:t>
      </w:r>
      <w:r>
        <w:rPr>
          <w:rFonts w:ascii="Sylfaen" w:hAnsi="Sylfaen" w:cs="Sylfaen"/>
          <w:noProof/>
          <w:color w:val="000000"/>
          <w:lang w:val="es-ES"/>
        </w:rPr>
        <w:t>ექსპორტ</w:t>
      </w:r>
      <w:r>
        <w:rPr>
          <w:rFonts w:ascii="Sylfaen" w:hAnsi="Sylfaen" w:cs="Sylfaen"/>
          <w:noProof/>
          <w:color w:val="000000"/>
          <w:lang w:val="ka-GE"/>
        </w:rPr>
        <w:t>სა</w:t>
      </w:r>
      <w:r w:rsidRPr="000D6691">
        <w:rPr>
          <w:rFonts w:ascii="Sylfaen" w:hAnsi="Sylfaen" w:cs="Sylfaen"/>
          <w:noProof/>
          <w:color w:val="000000"/>
          <w:lang w:val="es-ES"/>
        </w:rPr>
        <w:t xml:space="preserve"> </w:t>
      </w:r>
      <w:r>
        <w:rPr>
          <w:rFonts w:ascii="Sylfaen" w:hAnsi="Sylfaen" w:cs="Sylfaen"/>
          <w:noProof/>
          <w:color w:val="000000"/>
          <w:lang w:val="ka-GE"/>
        </w:rPr>
        <w:t xml:space="preserve">და </w:t>
      </w:r>
      <w:r>
        <w:rPr>
          <w:rFonts w:ascii="Sylfaen" w:hAnsi="Sylfaen" w:cs="Sylfaen"/>
          <w:noProof/>
          <w:color w:val="000000"/>
          <w:lang w:val="es-ES"/>
        </w:rPr>
        <w:t>იმპორტში</w:t>
      </w:r>
      <w:r>
        <w:rPr>
          <w:rFonts w:ascii="Sylfaen" w:hAnsi="Sylfaen"/>
          <w:lang w:val="ka-GE"/>
        </w:rPr>
        <w:t>.</w:t>
      </w:r>
    </w:p>
    <w:p w:rsidR="00336EAE" w:rsidRPr="004427B0" w:rsidRDefault="00BD0091" w:rsidP="000271CF">
      <w:pPr>
        <w:spacing w:line="312" w:lineRule="auto"/>
        <w:ind w:left="-567"/>
        <w:jc w:val="center"/>
        <w:rPr>
          <w:rFonts w:ascii="Sylfaen" w:hAnsi="Sylfaen"/>
        </w:rPr>
      </w:pPr>
      <w:r w:rsidRPr="00BD0091">
        <w:rPr>
          <w:rFonts w:ascii="Sylfaen" w:hAnsi="Sylfaen"/>
          <w:noProof/>
        </w:rPr>
        <w:drawing>
          <wp:inline distT="0" distB="0" distL="0" distR="0">
            <wp:extent cx="3330596" cy="3615210"/>
            <wp:effectExtent l="0" t="0" r="0" b="0"/>
            <wp:docPr id="6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F2086" w:rsidRPr="00336EAE" w:rsidRDefault="006F2086" w:rsidP="000271CF">
      <w:pPr>
        <w:spacing w:line="312" w:lineRule="auto"/>
        <w:ind w:left="-567" w:firstLine="708"/>
        <w:jc w:val="both"/>
        <w:rPr>
          <w:rFonts w:ascii="Sylfaen" w:hAnsi="Sylfaen"/>
          <w:color w:val="FF0000"/>
        </w:rPr>
      </w:pPr>
      <w:r w:rsidRPr="00336EAE">
        <w:rPr>
          <w:rFonts w:ascii="Sylfaen" w:hAnsi="Sylfaen"/>
        </w:rPr>
        <w:t xml:space="preserve">                               </w:t>
      </w:r>
    </w:p>
    <w:p w:rsidR="006F2086" w:rsidRPr="00336EAE" w:rsidRDefault="006F2086" w:rsidP="000271CF">
      <w:pPr>
        <w:spacing w:line="312" w:lineRule="auto"/>
        <w:ind w:left="-567" w:right="-219"/>
        <w:jc w:val="both"/>
        <w:rPr>
          <w:rFonts w:ascii="Sylfaen" w:hAnsi="Sylfaen"/>
          <w:lang w:val="ka-GE"/>
        </w:rPr>
      </w:pPr>
      <w:r w:rsidRPr="00336EAE">
        <w:rPr>
          <w:rFonts w:ascii="Sylfaen" w:hAnsi="Sylfaen" w:cs="Arial"/>
          <w:sz w:val="18"/>
          <w:szCs w:val="18"/>
          <w:lang w:val="ka-GE"/>
        </w:rPr>
        <w:t>*წინასწარი მონაცემები.</w:t>
      </w:r>
    </w:p>
    <w:p w:rsidR="00E6516A" w:rsidRDefault="00BD0091" w:rsidP="000271CF">
      <w:pPr>
        <w:pStyle w:val="Heading1"/>
        <w:spacing w:before="120" w:line="312" w:lineRule="auto"/>
        <w:ind w:left="-567" w:firstLine="0"/>
        <w:jc w:val="center"/>
        <w:rPr>
          <w:rFonts w:ascii="Sylfaen" w:hAnsi="Sylfaen" w:cs="Sylfaen"/>
          <w:noProof/>
          <w:color w:val="000000"/>
          <w:sz w:val="22"/>
          <w:szCs w:val="22"/>
          <w:lang w:val="es-ES"/>
        </w:rPr>
      </w:pPr>
      <w:r w:rsidRPr="00BD0091">
        <w:rPr>
          <w:rFonts w:ascii="Sylfaen" w:hAnsi="Sylfaen" w:cs="Sylfaen"/>
          <w:noProof/>
          <w:color w:val="000000"/>
          <w:sz w:val="22"/>
          <w:szCs w:val="22"/>
        </w:rPr>
        <w:lastRenderedPageBreak/>
        <w:drawing>
          <wp:inline distT="0" distB="0" distL="0" distR="0">
            <wp:extent cx="3475931" cy="3669711"/>
            <wp:effectExtent l="0" t="0" r="0" b="0"/>
            <wp:docPr id="7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C163F" w:rsidRPr="00336EAE" w:rsidRDefault="004C163F" w:rsidP="000271CF">
      <w:pPr>
        <w:spacing w:line="312" w:lineRule="auto"/>
        <w:ind w:left="-567" w:right="-219"/>
        <w:jc w:val="both"/>
        <w:rPr>
          <w:rFonts w:ascii="Sylfaen" w:hAnsi="Sylfaen"/>
          <w:lang w:val="ka-GE"/>
        </w:rPr>
      </w:pPr>
      <w:r w:rsidRPr="00336EAE">
        <w:rPr>
          <w:rFonts w:ascii="Sylfaen" w:hAnsi="Sylfaen" w:cs="Arial"/>
          <w:sz w:val="18"/>
          <w:szCs w:val="18"/>
          <w:lang w:val="ka-GE"/>
        </w:rPr>
        <w:t>*წინასწარი მონაცემები.</w:t>
      </w:r>
    </w:p>
    <w:p w:rsidR="000271CF" w:rsidRDefault="000271CF" w:rsidP="000271CF">
      <w:pPr>
        <w:pStyle w:val="Heading1"/>
        <w:spacing w:before="240" w:line="312" w:lineRule="auto"/>
        <w:ind w:left="-567" w:firstLine="0"/>
        <w:rPr>
          <w:rFonts w:ascii="Sylfaen" w:hAnsi="Sylfaen" w:cs="Sylfaen"/>
          <w:noProof/>
          <w:color w:val="000000"/>
          <w:sz w:val="22"/>
          <w:szCs w:val="22"/>
          <w:lang w:val="es-ES"/>
        </w:rPr>
      </w:pPr>
      <w:r>
        <w:rPr>
          <w:rFonts w:ascii="Sylfaen" w:hAnsi="Sylfaen" w:cs="Sylfaen"/>
          <w:noProof/>
          <w:color w:val="000000"/>
          <w:sz w:val="22"/>
          <w:szCs w:val="22"/>
          <w:lang w:val="es-ES"/>
        </w:rPr>
        <w:t>2016</w:t>
      </w:r>
      <w:r>
        <w:rPr>
          <w:rFonts w:ascii="Sylfaen" w:hAnsi="Sylfaen" w:cs="Sylfaen"/>
          <w:noProof/>
          <w:color w:val="000000"/>
          <w:sz w:val="22"/>
          <w:szCs w:val="22"/>
          <w:lang w:val="ka-GE"/>
        </w:rPr>
        <w:t xml:space="preserve"> </w:t>
      </w:r>
      <w:r>
        <w:rPr>
          <w:rFonts w:ascii="Sylfaen" w:hAnsi="Sylfaen" w:cs="Sylfaen"/>
          <w:noProof/>
          <w:color w:val="000000"/>
          <w:sz w:val="22"/>
          <w:szCs w:val="22"/>
          <w:lang w:val="es-ES"/>
        </w:rPr>
        <w:t>წელს</w:t>
      </w:r>
      <w:r>
        <w:rPr>
          <w:rFonts w:ascii="Sylfaen" w:hAnsi="Sylfaen" w:cs="Sylfaen"/>
          <w:noProof/>
          <w:color w:val="000000"/>
          <w:sz w:val="22"/>
          <w:szCs w:val="22"/>
          <w:lang w:val="ka-GE"/>
        </w:rPr>
        <w:t xml:space="preserve"> </w:t>
      </w:r>
      <w:r w:rsidRPr="0087672E">
        <w:rPr>
          <w:rFonts w:ascii="Sylfaen" w:hAnsi="Sylfaen" w:cs="Sylfaen"/>
          <w:noProof/>
          <w:color w:val="000000"/>
          <w:sz w:val="22"/>
          <w:szCs w:val="22"/>
          <w:lang w:val="es-ES"/>
        </w:rPr>
        <w:t>ათი უმსხვილესი სავაჭრო პარტნიორი</w:t>
      </w:r>
      <w:r>
        <w:rPr>
          <w:rFonts w:ascii="Sylfaen" w:hAnsi="Sylfaen" w:cs="Sylfaen"/>
          <w:noProof/>
          <w:color w:val="000000"/>
          <w:sz w:val="22"/>
          <w:szCs w:val="22"/>
          <w:lang w:val="es-ES"/>
        </w:rPr>
        <w:t xml:space="preserve"> </w:t>
      </w:r>
      <w:r>
        <w:rPr>
          <w:rFonts w:ascii="Sylfaen" w:hAnsi="Sylfaen" w:cs="Sylfaen"/>
          <w:noProof/>
          <w:color w:val="000000"/>
          <w:sz w:val="22"/>
          <w:szCs w:val="22"/>
          <w:lang w:val="ka-GE"/>
        </w:rPr>
        <w:t>ქვეყნი</w:t>
      </w:r>
      <w:r w:rsidRPr="0087672E">
        <w:rPr>
          <w:rFonts w:ascii="Sylfaen" w:hAnsi="Sylfaen" w:cs="Sylfaen"/>
          <w:noProof/>
          <w:color w:val="000000"/>
          <w:sz w:val="22"/>
          <w:szCs w:val="22"/>
          <w:lang w:val="es-ES"/>
        </w:rPr>
        <w:t xml:space="preserve">ს წილმა საქართველოს მთლიან საგარეო სავაჭრო ბრუნვაში </w:t>
      </w:r>
      <w:r>
        <w:rPr>
          <w:rFonts w:ascii="Sylfaen" w:hAnsi="Sylfaen" w:cs="Sylfaen"/>
          <w:noProof/>
          <w:color w:val="000000"/>
          <w:sz w:val="22"/>
          <w:szCs w:val="22"/>
          <w:lang w:val="ka-GE"/>
        </w:rPr>
        <w:t>6</w:t>
      </w:r>
      <w:r>
        <w:rPr>
          <w:rFonts w:ascii="Sylfaen" w:hAnsi="Sylfaen" w:cs="Sylfaen"/>
          <w:noProof/>
          <w:color w:val="000000"/>
          <w:sz w:val="22"/>
          <w:szCs w:val="22"/>
        </w:rPr>
        <w:t>5</w:t>
      </w:r>
      <w:r>
        <w:rPr>
          <w:rFonts w:ascii="Sylfaen" w:hAnsi="Sylfaen" w:cs="Sylfaen"/>
          <w:noProof/>
          <w:color w:val="000000"/>
          <w:sz w:val="22"/>
          <w:szCs w:val="22"/>
          <w:lang w:val="ka-GE"/>
        </w:rPr>
        <w:t xml:space="preserve"> </w:t>
      </w:r>
      <w:r w:rsidRPr="0087672E">
        <w:rPr>
          <w:rFonts w:ascii="Sylfaen" w:hAnsi="Sylfaen" w:cs="Sylfaen"/>
          <w:noProof/>
          <w:color w:val="000000"/>
          <w:sz w:val="22"/>
          <w:szCs w:val="22"/>
          <w:lang w:val="es-ES"/>
        </w:rPr>
        <w:t>პროცენტი შეადგინა. უმსხვილეს</w:t>
      </w:r>
      <w:r w:rsidRPr="000D6691">
        <w:rPr>
          <w:rFonts w:ascii="Sylfaen" w:hAnsi="Sylfaen" w:cs="Sylfaen"/>
          <w:noProof/>
          <w:color w:val="000000"/>
          <w:sz w:val="22"/>
          <w:szCs w:val="22"/>
          <w:lang w:val="es-ES"/>
        </w:rPr>
        <w:t>ი</w:t>
      </w:r>
      <w:r w:rsidRPr="0087672E">
        <w:rPr>
          <w:rFonts w:ascii="Sylfaen" w:hAnsi="Sylfaen" w:cs="Sylfaen"/>
          <w:noProof/>
          <w:color w:val="000000"/>
          <w:sz w:val="22"/>
          <w:szCs w:val="22"/>
          <w:lang w:val="es-ES"/>
        </w:rPr>
        <w:t xml:space="preserve"> სავაჭრო პარტნიორებ</w:t>
      </w:r>
      <w:r w:rsidRPr="000D6691">
        <w:rPr>
          <w:rFonts w:ascii="Sylfaen" w:hAnsi="Sylfaen" w:cs="Sylfaen"/>
          <w:noProof/>
          <w:color w:val="000000"/>
          <w:sz w:val="22"/>
          <w:szCs w:val="22"/>
          <w:lang w:val="es-ES"/>
        </w:rPr>
        <w:t>ი</w:t>
      </w:r>
      <w:r>
        <w:rPr>
          <w:rFonts w:ascii="Sylfaen" w:hAnsi="Sylfaen" w:cs="Sylfaen"/>
          <w:noProof/>
          <w:color w:val="000000"/>
          <w:sz w:val="22"/>
          <w:szCs w:val="22"/>
          <w:lang w:val="ka-GE"/>
        </w:rPr>
        <w:t xml:space="preserve">ა </w:t>
      </w:r>
      <w:r>
        <w:rPr>
          <w:rFonts w:ascii="Sylfaen" w:hAnsi="Sylfaen" w:cs="Sylfaen"/>
          <w:noProof/>
          <w:color w:val="000000"/>
          <w:sz w:val="22"/>
          <w:szCs w:val="22"/>
          <w:lang w:val="es-ES"/>
        </w:rPr>
        <w:t xml:space="preserve">თურქეთი </w:t>
      </w:r>
      <w:r w:rsidRPr="0087672E">
        <w:rPr>
          <w:rFonts w:ascii="Sylfaen" w:hAnsi="Sylfaen" w:cs="Sylfaen"/>
          <w:noProof/>
          <w:color w:val="000000"/>
          <w:sz w:val="22"/>
          <w:szCs w:val="22"/>
          <w:lang w:val="es-ES"/>
        </w:rPr>
        <w:t>(</w:t>
      </w:r>
      <w:r>
        <w:rPr>
          <w:rFonts w:ascii="Sylfaen" w:hAnsi="Sylfaen" w:cs="Sylfaen"/>
          <w:noProof/>
          <w:color w:val="000000"/>
          <w:sz w:val="22"/>
          <w:szCs w:val="22"/>
        </w:rPr>
        <w:t xml:space="preserve">1526 </w:t>
      </w:r>
      <w:r w:rsidRPr="0087672E">
        <w:rPr>
          <w:rFonts w:ascii="Sylfaen" w:hAnsi="Sylfaen" w:cs="Sylfaen"/>
          <w:noProof/>
          <w:color w:val="000000"/>
          <w:sz w:val="22"/>
          <w:szCs w:val="22"/>
          <w:lang w:val="es-ES"/>
        </w:rPr>
        <w:t>მლნ. აშშ დოლარი)</w:t>
      </w:r>
      <w:r>
        <w:rPr>
          <w:rFonts w:ascii="Sylfaen" w:hAnsi="Sylfaen" w:cs="Sylfaen"/>
          <w:noProof/>
          <w:color w:val="000000"/>
          <w:sz w:val="22"/>
          <w:szCs w:val="22"/>
          <w:lang w:val="ka-GE"/>
        </w:rPr>
        <w:t>, რუსე</w:t>
      </w:r>
      <w:r w:rsidRPr="002C6146">
        <w:rPr>
          <w:rFonts w:ascii="Sylfaen" w:hAnsi="Sylfaen" w:cs="Sylfaen"/>
          <w:noProof/>
          <w:color w:val="000000"/>
          <w:sz w:val="22"/>
          <w:szCs w:val="22"/>
          <w:lang w:val="es-ES"/>
        </w:rPr>
        <w:t>თი</w:t>
      </w:r>
      <w:r>
        <w:rPr>
          <w:rFonts w:ascii="Sylfaen" w:hAnsi="Sylfaen" w:cs="Sylfaen"/>
          <w:noProof/>
          <w:color w:val="000000"/>
          <w:sz w:val="22"/>
          <w:szCs w:val="22"/>
          <w:lang w:val="es-ES"/>
        </w:rPr>
        <w:t xml:space="preserve"> </w:t>
      </w:r>
      <w:r w:rsidRPr="0087672E">
        <w:rPr>
          <w:rFonts w:ascii="Sylfaen" w:hAnsi="Sylfaen" w:cs="Sylfaen"/>
          <w:noProof/>
          <w:color w:val="000000"/>
          <w:sz w:val="22"/>
          <w:szCs w:val="22"/>
          <w:lang w:val="es-ES"/>
        </w:rPr>
        <w:t>(</w:t>
      </w:r>
      <w:r>
        <w:rPr>
          <w:rFonts w:ascii="Sylfaen" w:hAnsi="Sylfaen" w:cs="Sylfaen"/>
          <w:noProof/>
          <w:color w:val="000000"/>
          <w:sz w:val="22"/>
          <w:szCs w:val="22"/>
        </w:rPr>
        <w:t xml:space="preserve">881 </w:t>
      </w:r>
      <w:r w:rsidRPr="0087672E">
        <w:rPr>
          <w:rFonts w:ascii="Sylfaen" w:hAnsi="Sylfaen" w:cs="Sylfaen"/>
          <w:noProof/>
          <w:color w:val="000000"/>
          <w:sz w:val="22"/>
          <w:szCs w:val="22"/>
          <w:lang w:val="es-ES"/>
        </w:rPr>
        <w:t>მლნ. აშშ დოლარი)</w:t>
      </w:r>
      <w:r>
        <w:rPr>
          <w:rFonts w:ascii="Sylfaen" w:hAnsi="Sylfaen" w:cs="Sylfaen"/>
          <w:noProof/>
          <w:color w:val="000000"/>
          <w:sz w:val="22"/>
          <w:szCs w:val="22"/>
          <w:lang w:val="ka-GE"/>
        </w:rPr>
        <w:t xml:space="preserve"> </w:t>
      </w:r>
      <w:r w:rsidRPr="0087672E">
        <w:rPr>
          <w:rFonts w:ascii="Sylfaen" w:hAnsi="Sylfaen" w:cs="Sylfaen"/>
          <w:noProof/>
          <w:color w:val="000000"/>
          <w:sz w:val="22"/>
          <w:szCs w:val="22"/>
          <w:lang w:val="es-ES"/>
        </w:rPr>
        <w:t xml:space="preserve">და </w:t>
      </w:r>
      <w:r>
        <w:rPr>
          <w:rFonts w:ascii="Sylfaen" w:hAnsi="Sylfaen" w:cs="Sylfaen"/>
          <w:noProof/>
          <w:color w:val="000000"/>
          <w:sz w:val="22"/>
          <w:szCs w:val="22"/>
          <w:lang w:val="ka-GE"/>
        </w:rPr>
        <w:t>ჩინეთი</w:t>
      </w:r>
      <w:r w:rsidRPr="00350DB4">
        <w:rPr>
          <w:rFonts w:ascii="Sylfaen" w:hAnsi="Sylfaen" w:cs="Sylfaen"/>
          <w:noProof/>
          <w:color w:val="000000"/>
          <w:sz w:val="22"/>
          <w:szCs w:val="22"/>
          <w:lang w:val="es-ES"/>
        </w:rPr>
        <w:t xml:space="preserve"> (</w:t>
      </w:r>
      <w:r>
        <w:rPr>
          <w:rFonts w:ascii="Sylfaen" w:hAnsi="Sylfaen" w:cs="Sylfaen"/>
          <w:noProof/>
          <w:color w:val="000000"/>
          <w:sz w:val="22"/>
          <w:szCs w:val="22"/>
          <w:lang w:val="ka-GE"/>
        </w:rPr>
        <w:t>717</w:t>
      </w:r>
      <w:r w:rsidRPr="00350DB4">
        <w:rPr>
          <w:rFonts w:ascii="Sylfaen" w:hAnsi="Sylfaen" w:cs="Sylfaen"/>
          <w:noProof/>
          <w:color w:val="000000"/>
          <w:sz w:val="22"/>
          <w:szCs w:val="22"/>
          <w:lang w:val="es-ES"/>
        </w:rPr>
        <w:t xml:space="preserve"> მლნ. </w:t>
      </w:r>
      <w:r w:rsidRPr="0087672E">
        <w:rPr>
          <w:rFonts w:ascii="Sylfaen" w:hAnsi="Sylfaen" w:cs="Sylfaen"/>
          <w:noProof/>
          <w:color w:val="000000"/>
          <w:sz w:val="22"/>
          <w:szCs w:val="22"/>
          <w:lang w:val="es-ES"/>
        </w:rPr>
        <w:t>აშშ დოლარი)</w:t>
      </w:r>
      <w:r w:rsidRPr="00CD5649">
        <w:rPr>
          <w:rFonts w:ascii="Sylfaen" w:hAnsi="Sylfaen" w:cs="Sylfaen"/>
          <w:noProof/>
          <w:color w:val="000000"/>
          <w:sz w:val="22"/>
          <w:szCs w:val="22"/>
          <w:lang w:val="es-ES"/>
        </w:rPr>
        <w:t>.</w:t>
      </w:r>
    </w:p>
    <w:p w:rsidR="009334D4" w:rsidRPr="00E6516A" w:rsidRDefault="004C163F" w:rsidP="000271CF">
      <w:pPr>
        <w:spacing w:line="312" w:lineRule="auto"/>
        <w:ind w:left="-567"/>
        <w:jc w:val="both"/>
        <w:rPr>
          <w:rFonts w:ascii="Sylfaen" w:hAnsi="Sylfaen"/>
          <w:color w:val="FF0000"/>
        </w:rPr>
      </w:pPr>
      <w:r w:rsidRPr="004C163F">
        <w:rPr>
          <w:rFonts w:ascii="Sylfaen" w:hAnsi="Sylfaen"/>
          <w:noProof/>
          <w:color w:val="FF0000"/>
        </w:rPr>
        <w:drawing>
          <wp:inline distT="0" distB="0" distL="0" distR="0">
            <wp:extent cx="5715000" cy="3526611"/>
            <wp:effectExtent l="19050" t="0" r="0" b="0"/>
            <wp:docPr id="6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49F7" w:rsidRPr="00E6516A" w:rsidRDefault="00E349F7" w:rsidP="000271CF">
      <w:pPr>
        <w:suppressLineNumbers/>
        <w:spacing w:line="312" w:lineRule="auto"/>
        <w:ind w:left="-567" w:hanging="284"/>
        <w:jc w:val="both"/>
        <w:rPr>
          <w:rFonts w:ascii="Sylfaen" w:hAnsi="Sylfaen" w:cs="Arial"/>
          <w:sz w:val="18"/>
          <w:szCs w:val="18"/>
          <w:lang w:val="ka-GE"/>
        </w:rPr>
      </w:pPr>
      <w:r w:rsidRPr="00E6516A">
        <w:rPr>
          <w:rFonts w:ascii="Sylfaen" w:hAnsi="Sylfaen" w:cs="Arial"/>
          <w:sz w:val="18"/>
          <w:szCs w:val="18"/>
          <w:lang w:val="ka-GE"/>
        </w:rPr>
        <w:t>*წინასწარი მონაცემები.</w:t>
      </w:r>
    </w:p>
    <w:p w:rsidR="000271CF" w:rsidRDefault="000271CF" w:rsidP="000271CF">
      <w:pPr>
        <w:suppressLineNumbers/>
        <w:spacing w:line="312" w:lineRule="auto"/>
        <w:ind w:left="-567"/>
        <w:jc w:val="both"/>
        <w:rPr>
          <w:rFonts w:ascii="Sylfaen" w:eastAsia="Times New Roman" w:hAnsi="Sylfaen" w:cs="Sylfaen"/>
          <w:noProof/>
          <w:color w:val="000000"/>
          <w:lang w:val="ka-GE"/>
        </w:rPr>
      </w:pPr>
      <w:r>
        <w:rPr>
          <w:rFonts w:ascii="Sylfaen" w:eastAsia="Times New Roman" w:hAnsi="Sylfaen" w:cs="Sylfaen"/>
          <w:noProof/>
          <w:color w:val="000000"/>
          <w:lang w:val="ka-GE"/>
        </w:rPr>
        <w:lastRenderedPageBreak/>
        <w:t xml:space="preserve">2016 </w:t>
      </w:r>
      <w:r>
        <w:rPr>
          <w:rFonts w:ascii="Sylfaen" w:eastAsia="Times New Roman" w:hAnsi="Sylfaen" w:cs="Sylfaen"/>
          <w:noProof/>
          <w:color w:val="000000"/>
          <w:lang w:val="es-ES"/>
        </w:rPr>
        <w:t>წელს</w:t>
      </w:r>
      <w:r w:rsidRPr="00745CB8">
        <w:rPr>
          <w:rFonts w:ascii="Sylfaen" w:eastAsia="Times New Roman" w:hAnsi="Sylfaen" w:cs="Sylfaen"/>
          <w:noProof/>
          <w:color w:val="000000"/>
          <w:lang w:val="es-ES"/>
        </w:rPr>
        <w:t>,</w:t>
      </w:r>
      <w:r w:rsidRPr="000D6691">
        <w:rPr>
          <w:rFonts w:ascii="Sylfaen" w:eastAsia="Times New Roman" w:hAnsi="Sylfaen" w:cs="Sylfaen"/>
          <w:noProof/>
          <w:color w:val="000000"/>
          <w:lang w:val="es-ES"/>
        </w:rPr>
        <w:t xml:space="preserve"> სასაქონლო ჯგუფებიდან</w:t>
      </w:r>
      <w:r w:rsidRPr="00745CB8">
        <w:rPr>
          <w:rFonts w:ascii="Sylfaen" w:eastAsia="Times New Roman" w:hAnsi="Sylfaen" w:cs="Sylfaen"/>
          <w:noProof/>
          <w:color w:val="000000"/>
          <w:lang w:val="es-ES"/>
        </w:rPr>
        <w:t xml:space="preserve">, </w:t>
      </w:r>
      <w:r w:rsidRPr="000D6691">
        <w:rPr>
          <w:rFonts w:ascii="Sylfaen" w:eastAsia="Times New Roman" w:hAnsi="Sylfaen" w:cs="Sylfaen"/>
          <w:noProof/>
          <w:color w:val="000000"/>
          <w:lang w:val="es-ES"/>
        </w:rPr>
        <w:t xml:space="preserve">საექსპორტო ათეულში პირველი ადგილი </w:t>
      </w:r>
      <w:r w:rsidRPr="008C6748">
        <w:rPr>
          <w:rFonts w:ascii="Sylfaen" w:eastAsia="Times New Roman" w:hAnsi="Sylfaen" w:cs="Sylfaen"/>
          <w:noProof/>
          <w:color w:val="000000"/>
          <w:lang w:val="es-ES"/>
        </w:rPr>
        <w:t>სპილენძის მადნებმა და კონცენტრატებმა</w:t>
      </w:r>
      <w:r w:rsidRPr="00745CB8">
        <w:rPr>
          <w:rFonts w:ascii="Sylfaen" w:eastAsia="Times New Roman" w:hAnsi="Sylfaen" w:cs="Sylfaen"/>
          <w:noProof/>
          <w:color w:val="000000"/>
          <w:lang w:val="es-ES"/>
        </w:rPr>
        <w:t xml:space="preserve"> </w:t>
      </w:r>
      <w:r w:rsidRPr="000D6691">
        <w:rPr>
          <w:rFonts w:ascii="Sylfaen" w:eastAsia="Times New Roman" w:hAnsi="Sylfaen" w:cs="Sylfaen"/>
          <w:noProof/>
          <w:color w:val="000000"/>
          <w:lang w:val="es-ES"/>
        </w:rPr>
        <w:t>დაიკავა</w:t>
      </w:r>
      <w:r w:rsidRPr="00745CB8">
        <w:rPr>
          <w:rFonts w:ascii="Sylfaen" w:eastAsia="Times New Roman" w:hAnsi="Sylfaen" w:cs="Sylfaen"/>
          <w:noProof/>
          <w:color w:val="000000"/>
          <w:lang w:val="es-ES"/>
        </w:rPr>
        <w:t>,</w:t>
      </w:r>
      <w:r w:rsidRPr="000D6691">
        <w:rPr>
          <w:rFonts w:ascii="Sylfaen" w:eastAsia="Times New Roman" w:hAnsi="Sylfaen" w:cs="Sylfaen"/>
          <w:noProof/>
          <w:color w:val="000000"/>
          <w:lang w:val="es-ES"/>
        </w:rPr>
        <w:t xml:space="preserve"> </w:t>
      </w:r>
      <w:r>
        <w:rPr>
          <w:rFonts w:ascii="Sylfaen" w:eastAsia="Times New Roman" w:hAnsi="Sylfaen" w:cs="Sylfaen"/>
          <w:noProof/>
          <w:color w:val="000000"/>
          <w:lang w:val="ka-GE"/>
        </w:rPr>
        <w:t xml:space="preserve">312 </w:t>
      </w:r>
      <w:r>
        <w:rPr>
          <w:rFonts w:ascii="Sylfaen" w:eastAsia="Times New Roman" w:hAnsi="Sylfaen" w:cs="Sylfaen"/>
          <w:noProof/>
          <w:color w:val="000000"/>
          <w:lang w:val="es-ES"/>
        </w:rPr>
        <w:t xml:space="preserve">მლნ. </w:t>
      </w:r>
      <w:r w:rsidRPr="000D6691">
        <w:rPr>
          <w:rFonts w:ascii="Sylfaen" w:eastAsia="Times New Roman" w:hAnsi="Sylfaen" w:cs="Sylfaen"/>
          <w:noProof/>
          <w:color w:val="000000"/>
          <w:lang w:val="es-ES"/>
        </w:rPr>
        <w:t>აშშ დო</w:t>
      </w:r>
      <w:r>
        <w:rPr>
          <w:rFonts w:ascii="Sylfaen" w:eastAsia="Times New Roman" w:hAnsi="Sylfaen" w:cs="Sylfaen"/>
          <w:noProof/>
          <w:color w:val="000000"/>
          <w:lang w:val="es-ES"/>
        </w:rPr>
        <w:t>ლარი</w:t>
      </w:r>
      <w:r w:rsidRPr="00745CB8">
        <w:rPr>
          <w:rFonts w:ascii="Sylfaen" w:eastAsia="Times New Roman" w:hAnsi="Sylfaen" w:cs="Sylfaen"/>
          <w:noProof/>
          <w:color w:val="000000"/>
          <w:lang w:val="es-ES"/>
        </w:rPr>
        <w:t xml:space="preserve"> და</w:t>
      </w:r>
      <w:r>
        <w:rPr>
          <w:rFonts w:ascii="Sylfaen" w:eastAsia="Times New Roman" w:hAnsi="Sylfaen" w:cs="Sylfaen"/>
          <w:noProof/>
          <w:color w:val="000000"/>
          <w:lang w:val="es-ES"/>
        </w:rPr>
        <w:t xml:space="preserve"> მთელი ექსპორტის </w:t>
      </w:r>
      <w:r>
        <w:rPr>
          <w:rFonts w:ascii="Sylfaen" w:eastAsia="Times New Roman" w:hAnsi="Sylfaen" w:cs="Sylfaen"/>
          <w:noProof/>
          <w:color w:val="000000"/>
          <w:lang w:val="ka-GE"/>
        </w:rPr>
        <w:t xml:space="preserve">15 </w:t>
      </w:r>
      <w:r w:rsidRPr="000D6691">
        <w:rPr>
          <w:rFonts w:ascii="Sylfaen" w:eastAsia="Times New Roman" w:hAnsi="Sylfaen" w:cs="Sylfaen"/>
          <w:noProof/>
          <w:color w:val="000000"/>
          <w:lang w:val="es-ES"/>
        </w:rPr>
        <w:t>პროცენტი</w:t>
      </w:r>
      <w:r w:rsidRPr="00745CB8">
        <w:rPr>
          <w:rFonts w:ascii="Sylfaen" w:eastAsia="Times New Roman" w:hAnsi="Sylfaen" w:cs="Sylfaen"/>
          <w:noProof/>
          <w:color w:val="000000"/>
          <w:lang w:val="es-ES"/>
        </w:rPr>
        <w:t xml:space="preserve"> </w:t>
      </w:r>
      <w:r>
        <w:rPr>
          <w:rFonts w:ascii="Sylfaen" w:eastAsia="Times New Roman" w:hAnsi="Sylfaen" w:cs="Sylfaen"/>
          <w:noProof/>
          <w:color w:val="000000"/>
          <w:lang w:val="es-ES"/>
        </w:rPr>
        <w:t>შეადგინა.</w:t>
      </w:r>
      <w:r>
        <w:rPr>
          <w:rFonts w:ascii="Sylfaen" w:eastAsia="Times New Roman" w:hAnsi="Sylfaen" w:cs="Sylfaen"/>
          <w:noProof/>
          <w:color w:val="000000"/>
          <w:lang w:val="ka-GE"/>
        </w:rPr>
        <w:t xml:space="preserve"> </w:t>
      </w:r>
      <w:r w:rsidRPr="0055129E">
        <w:rPr>
          <w:rFonts w:ascii="Sylfaen" w:eastAsia="Times New Roman" w:hAnsi="Sylfaen" w:cs="Sylfaen"/>
          <w:noProof/>
          <w:color w:val="000000"/>
          <w:lang w:val="ka-GE"/>
        </w:rPr>
        <w:t>თხილი</w:t>
      </w:r>
      <w:r>
        <w:rPr>
          <w:rFonts w:ascii="Sylfaen" w:eastAsia="Times New Roman" w:hAnsi="Sylfaen" w:cs="Sylfaen"/>
          <w:noProof/>
          <w:color w:val="000000"/>
          <w:lang w:val="ka-GE"/>
        </w:rPr>
        <w:t xml:space="preserve">ს </w:t>
      </w:r>
      <w:r w:rsidRPr="0055129E">
        <w:rPr>
          <w:rFonts w:ascii="Sylfaen" w:eastAsia="Times New Roman" w:hAnsi="Sylfaen" w:cs="Sylfaen"/>
          <w:noProof/>
          <w:color w:val="000000"/>
          <w:lang w:val="ka-GE"/>
        </w:rPr>
        <w:t>ექსპორტი</w:t>
      </w:r>
      <w:r>
        <w:rPr>
          <w:rFonts w:ascii="Sylfaen" w:eastAsia="Times New Roman" w:hAnsi="Sylfaen" w:cs="Sylfaen"/>
          <w:noProof/>
          <w:color w:val="000000"/>
          <w:lang w:val="ka-GE"/>
        </w:rPr>
        <w:t xml:space="preserve"> 179</w:t>
      </w:r>
      <w:r w:rsidRPr="00745CB8">
        <w:rPr>
          <w:rFonts w:ascii="Sylfaen" w:eastAsia="Times New Roman" w:hAnsi="Sylfaen" w:cs="Sylfaen"/>
          <w:noProof/>
          <w:color w:val="000000"/>
          <w:lang w:val="es-ES"/>
        </w:rPr>
        <w:t xml:space="preserve"> </w:t>
      </w:r>
      <w:r>
        <w:rPr>
          <w:rFonts w:ascii="Sylfaen" w:eastAsia="Times New Roman" w:hAnsi="Sylfaen" w:cs="Sylfaen"/>
          <w:noProof/>
          <w:color w:val="000000"/>
          <w:lang w:val="es-ES"/>
        </w:rPr>
        <w:t>მლნ. აშშ დოლარს</w:t>
      </w:r>
      <w:r w:rsidRPr="00745CB8">
        <w:rPr>
          <w:rFonts w:ascii="Sylfaen" w:eastAsia="Times New Roman" w:hAnsi="Sylfaen" w:cs="Sylfaen"/>
          <w:noProof/>
          <w:color w:val="000000"/>
          <w:lang w:val="es-ES"/>
        </w:rPr>
        <w:t xml:space="preserve"> და შესაბამისად, </w:t>
      </w:r>
      <w:r w:rsidRPr="000D6691">
        <w:rPr>
          <w:rFonts w:ascii="Sylfaen" w:eastAsia="Times New Roman" w:hAnsi="Sylfaen" w:cs="Sylfaen"/>
          <w:noProof/>
          <w:color w:val="000000"/>
          <w:lang w:val="es-ES"/>
        </w:rPr>
        <w:t>მთლიან</w:t>
      </w:r>
      <w:r w:rsidRPr="00745CB8">
        <w:rPr>
          <w:rFonts w:ascii="Sylfaen" w:eastAsia="Times New Roman" w:hAnsi="Sylfaen" w:cs="Sylfaen"/>
          <w:noProof/>
          <w:color w:val="000000"/>
          <w:lang w:val="es-ES"/>
        </w:rPr>
        <w:t>ი</w:t>
      </w:r>
      <w:r>
        <w:rPr>
          <w:rFonts w:ascii="Sylfaen" w:eastAsia="Times New Roman" w:hAnsi="Sylfaen" w:cs="Sylfaen"/>
          <w:noProof/>
          <w:color w:val="000000"/>
          <w:lang w:val="es-ES"/>
        </w:rPr>
        <w:t xml:space="preserve"> ექსპორტ</w:t>
      </w:r>
      <w:r w:rsidRPr="000D6691">
        <w:rPr>
          <w:rFonts w:ascii="Sylfaen" w:eastAsia="Times New Roman" w:hAnsi="Sylfaen" w:cs="Sylfaen"/>
          <w:noProof/>
          <w:color w:val="000000"/>
          <w:lang w:val="es-ES"/>
        </w:rPr>
        <w:t>ი</w:t>
      </w:r>
      <w:r w:rsidRPr="00745CB8">
        <w:rPr>
          <w:rFonts w:ascii="Sylfaen" w:eastAsia="Times New Roman" w:hAnsi="Sylfaen" w:cs="Sylfaen"/>
          <w:noProof/>
          <w:color w:val="000000"/>
          <w:lang w:val="es-ES"/>
        </w:rPr>
        <w:t>ს</w:t>
      </w:r>
      <w:r>
        <w:rPr>
          <w:rFonts w:ascii="Sylfaen" w:eastAsia="Times New Roman" w:hAnsi="Sylfaen" w:cs="Sylfaen"/>
          <w:noProof/>
          <w:color w:val="000000"/>
          <w:lang w:val="es-ES"/>
        </w:rPr>
        <w:t xml:space="preserve"> </w:t>
      </w:r>
      <w:r>
        <w:rPr>
          <w:rFonts w:ascii="Sylfaen" w:eastAsia="Times New Roman" w:hAnsi="Sylfaen" w:cs="Sylfaen"/>
          <w:noProof/>
          <w:color w:val="000000"/>
          <w:lang w:val="ka-GE"/>
        </w:rPr>
        <w:t xml:space="preserve">9 </w:t>
      </w:r>
      <w:r w:rsidRPr="000D6691">
        <w:rPr>
          <w:rFonts w:ascii="Sylfaen" w:eastAsia="Times New Roman" w:hAnsi="Sylfaen" w:cs="Sylfaen"/>
          <w:noProof/>
          <w:color w:val="000000"/>
          <w:lang w:val="es-ES"/>
        </w:rPr>
        <w:t>პროცენტს</w:t>
      </w:r>
      <w:r w:rsidRPr="00745CB8">
        <w:rPr>
          <w:rFonts w:ascii="Sylfaen" w:eastAsia="Times New Roman" w:hAnsi="Sylfaen" w:cs="Sylfaen"/>
          <w:noProof/>
          <w:color w:val="000000"/>
          <w:lang w:val="es-ES"/>
        </w:rPr>
        <w:t xml:space="preserve"> </w:t>
      </w:r>
      <w:r>
        <w:rPr>
          <w:rFonts w:ascii="Sylfaen" w:eastAsia="Times New Roman" w:hAnsi="Sylfaen" w:cs="Sylfaen"/>
          <w:noProof/>
          <w:color w:val="000000"/>
          <w:lang w:val="es-ES"/>
        </w:rPr>
        <w:t>უდრიდა. მესამე ადგილზ</w:t>
      </w:r>
      <w:r w:rsidRPr="008F2301">
        <w:rPr>
          <w:rFonts w:ascii="Sylfaen" w:eastAsia="Times New Roman" w:hAnsi="Sylfaen" w:cs="Sylfaen"/>
          <w:noProof/>
          <w:color w:val="000000"/>
          <w:lang w:val="ka-GE"/>
        </w:rPr>
        <w:t>ე</w:t>
      </w:r>
      <w:r>
        <w:rPr>
          <w:rFonts w:ascii="Sylfaen" w:eastAsia="Times New Roman" w:hAnsi="Sylfaen" w:cs="Sylfaen"/>
          <w:noProof/>
          <w:color w:val="000000"/>
          <w:lang w:val="ka-GE"/>
        </w:rPr>
        <w:t xml:space="preserve"> </w:t>
      </w:r>
      <w:r w:rsidRPr="008F2301">
        <w:rPr>
          <w:rFonts w:ascii="Sylfaen" w:eastAsia="Times New Roman" w:hAnsi="Sylfaen" w:cs="Sylfaen"/>
          <w:noProof/>
          <w:color w:val="000000"/>
          <w:lang w:val="ka-GE"/>
        </w:rPr>
        <w:t>ფეროშენადნობების ჯგუფი იმყოფე</w:t>
      </w:r>
      <w:r w:rsidRPr="00745CB8">
        <w:rPr>
          <w:rFonts w:ascii="Sylfaen" w:eastAsia="Times New Roman" w:hAnsi="Sylfaen" w:cs="Sylfaen"/>
          <w:noProof/>
          <w:color w:val="000000"/>
          <w:lang w:val="es-ES"/>
        </w:rPr>
        <w:t>ბოდა</w:t>
      </w:r>
      <w:r>
        <w:rPr>
          <w:rFonts w:ascii="Sylfaen" w:eastAsia="Times New Roman" w:hAnsi="Sylfaen" w:cs="Sylfaen"/>
          <w:noProof/>
          <w:color w:val="000000"/>
          <w:lang w:val="es-ES"/>
        </w:rPr>
        <w:t>.</w:t>
      </w:r>
      <w:r>
        <w:rPr>
          <w:rFonts w:ascii="Sylfaen" w:eastAsia="Times New Roman" w:hAnsi="Sylfaen" w:cs="Sylfaen"/>
          <w:noProof/>
          <w:color w:val="000000"/>
          <w:lang w:val="ka-GE"/>
        </w:rPr>
        <w:t xml:space="preserve"> </w:t>
      </w:r>
      <w:r w:rsidRPr="000D6691">
        <w:rPr>
          <w:rFonts w:ascii="Sylfaen" w:eastAsia="Times New Roman" w:hAnsi="Sylfaen" w:cs="Sylfaen"/>
          <w:noProof/>
          <w:color w:val="000000"/>
          <w:lang w:val="es-ES"/>
        </w:rPr>
        <w:t>ამ სასაქონლო ჯგუფის ექსპორტმა</w:t>
      </w:r>
      <w:r>
        <w:rPr>
          <w:rFonts w:ascii="Sylfaen" w:eastAsia="Times New Roman" w:hAnsi="Sylfaen" w:cs="Sylfaen"/>
          <w:noProof/>
          <w:color w:val="000000"/>
          <w:lang w:val="es-ES"/>
        </w:rPr>
        <w:t xml:space="preserve"> </w:t>
      </w:r>
      <w:r>
        <w:rPr>
          <w:rFonts w:ascii="Sylfaen" w:eastAsia="Times New Roman" w:hAnsi="Sylfaen" w:cs="Sylfaen"/>
          <w:noProof/>
          <w:color w:val="000000"/>
          <w:lang w:val="ka-GE"/>
        </w:rPr>
        <w:t xml:space="preserve">169 </w:t>
      </w:r>
      <w:r w:rsidRPr="000D6691">
        <w:rPr>
          <w:rFonts w:ascii="Sylfaen" w:eastAsia="Times New Roman" w:hAnsi="Sylfaen" w:cs="Sylfaen"/>
          <w:noProof/>
          <w:color w:val="000000"/>
          <w:lang w:val="es-ES"/>
        </w:rPr>
        <w:t xml:space="preserve">მლნ. აშშ დოლარი და მთელი ექსპორტის </w:t>
      </w:r>
      <w:r>
        <w:rPr>
          <w:rFonts w:ascii="Sylfaen" w:eastAsia="Times New Roman" w:hAnsi="Sylfaen" w:cs="Sylfaen"/>
          <w:noProof/>
          <w:color w:val="000000"/>
          <w:lang w:val="ka-GE"/>
        </w:rPr>
        <w:t>8</w:t>
      </w:r>
      <w:r>
        <w:rPr>
          <w:rFonts w:ascii="Sylfaen" w:eastAsia="Times New Roman" w:hAnsi="Sylfaen" w:cs="Sylfaen"/>
          <w:noProof/>
          <w:color w:val="000000"/>
        </w:rPr>
        <w:t xml:space="preserve"> </w:t>
      </w:r>
      <w:r w:rsidRPr="000D6691">
        <w:rPr>
          <w:rFonts w:ascii="Sylfaen" w:eastAsia="Times New Roman" w:hAnsi="Sylfaen" w:cs="Sylfaen"/>
          <w:noProof/>
          <w:color w:val="000000"/>
          <w:lang w:val="es-ES"/>
        </w:rPr>
        <w:t>პროცენტი შეადგინა.</w:t>
      </w:r>
    </w:p>
    <w:p w:rsidR="00E349F7" w:rsidRPr="00AA041B" w:rsidRDefault="000271CF" w:rsidP="000271CF">
      <w:pPr>
        <w:tabs>
          <w:tab w:val="left" w:pos="3375"/>
        </w:tabs>
        <w:spacing w:line="312" w:lineRule="auto"/>
        <w:ind w:left="-567"/>
        <w:rPr>
          <w:color w:val="FF0000"/>
        </w:rPr>
      </w:pPr>
      <w:r w:rsidRPr="000271CF">
        <w:rPr>
          <w:noProof/>
          <w:color w:val="FF0000"/>
        </w:rPr>
        <w:drawing>
          <wp:inline distT="0" distB="0" distL="0" distR="0">
            <wp:extent cx="5715000" cy="3432148"/>
            <wp:effectExtent l="0" t="0" r="0" b="0"/>
            <wp:docPr id="7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49F7" w:rsidRPr="00E6516A" w:rsidRDefault="00E349F7" w:rsidP="000271CF">
      <w:pPr>
        <w:suppressLineNumbers/>
        <w:spacing w:after="0" w:line="312" w:lineRule="auto"/>
        <w:ind w:left="-567"/>
        <w:jc w:val="both"/>
        <w:rPr>
          <w:rFonts w:ascii="Sylfaen" w:hAnsi="Sylfaen" w:cs="Sylfaen"/>
          <w:noProof/>
        </w:rPr>
      </w:pPr>
      <w:r w:rsidRPr="00AA041B">
        <w:rPr>
          <w:color w:val="FF0000"/>
        </w:rPr>
        <w:tab/>
      </w:r>
      <w:r w:rsidRPr="00AA041B">
        <w:rPr>
          <w:rFonts w:ascii="Sylfaen" w:hAnsi="Sylfaen" w:cs="Arial"/>
          <w:color w:val="FF0000"/>
          <w:sz w:val="18"/>
          <w:szCs w:val="18"/>
          <w:lang w:val="ka-GE"/>
        </w:rPr>
        <w:t xml:space="preserve"> </w:t>
      </w:r>
      <w:r w:rsidRPr="00E6516A">
        <w:rPr>
          <w:rFonts w:ascii="Sylfaen" w:hAnsi="Sylfaen" w:cs="Arial"/>
          <w:sz w:val="18"/>
          <w:szCs w:val="18"/>
          <w:lang w:val="ka-GE"/>
        </w:rPr>
        <w:t>*წინასწარი მონაცემები.</w:t>
      </w:r>
    </w:p>
    <w:p w:rsidR="00E349F7" w:rsidRPr="00AA041B" w:rsidRDefault="00E349F7" w:rsidP="000271CF">
      <w:pPr>
        <w:suppressLineNumbers/>
        <w:spacing w:line="312" w:lineRule="auto"/>
        <w:ind w:left="-567" w:firstLine="708"/>
        <w:jc w:val="both"/>
        <w:rPr>
          <w:rFonts w:ascii="Sylfaen" w:eastAsia="Times New Roman" w:hAnsi="Sylfaen" w:cs="Sylfaen"/>
          <w:noProof/>
          <w:color w:val="FF0000"/>
          <w:lang w:val="es-ES"/>
        </w:rPr>
      </w:pPr>
    </w:p>
    <w:p w:rsidR="000271CF" w:rsidRPr="00B56A67" w:rsidRDefault="000271CF" w:rsidP="000271CF">
      <w:pPr>
        <w:suppressLineNumbers/>
        <w:spacing w:line="312" w:lineRule="auto"/>
        <w:ind w:left="-567"/>
        <w:jc w:val="both"/>
        <w:rPr>
          <w:rFonts w:ascii="Sylfaen" w:eastAsia="Times New Roman" w:hAnsi="Sylfaen" w:cs="Sylfaen"/>
          <w:noProof/>
          <w:color w:val="000000"/>
          <w:lang w:val="es-ES"/>
        </w:rPr>
      </w:pPr>
      <w:r w:rsidRPr="000D6691">
        <w:rPr>
          <w:rFonts w:ascii="Sylfaen" w:eastAsia="Times New Roman" w:hAnsi="Sylfaen" w:cs="Sylfaen"/>
          <w:noProof/>
          <w:color w:val="000000"/>
          <w:lang w:val="es-ES"/>
        </w:rPr>
        <w:t xml:space="preserve">უმსხვილესი საიმპორტო სასაქონლო ჯგუფი </w:t>
      </w:r>
      <w:r>
        <w:rPr>
          <w:rFonts w:ascii="Sylfaen" w:eastAsia="Times New Roman" w:hAnsi="Sylfaen" w:cs="Sylfaen"/>
          <w:noProof/>
          <w:color w:val="000000"/>
          <w:lang w:val="es-ES"/>
        </w:rPr>
        <w:t>2016</w:t>
      </w:r>
      <w:r>
        <w:rPr>
          <w:rFonts w:ascii="Sylfaen" w:eastAsia="Times New Roman" w:hAnsi="Sylfaen" w:cs="Sylfaen"/>
          <w:noProof/>
          <w:color w:val="000000"/>
          <w:lang w:val="ka-GE"/>
        </w:rPr>
        <w:t xml:space="preserve"> </w:t>
      </w:r>
      <w:r>
        <w:rPr>
          <w:rFonts w:ascii="Sylfaen" w:eastAsia="Times New Roman" w:hAnsi="Sylfaen" w:cs="Sylfaen"/>
          <w:noProof/>
          <w:color w:val="000000"/>
          <w:lang w:val="es-ES"/>
        </w:rPr>
        <w:t>წელს</w:t>
      </w:r>
      <w:r>
        <w:rPr>
          <w:rFonts w:ascii="Sylfaen" w:eastAsia="Times New Roman" w:hAnsi="Sylfaen" w:cs="Sylfaen"/>
          <w:noProof/>
          <w:color w:val="000000"/>
          <w:lang w:val="ka-GE"/>
        </w:rPr>
        <w:t xml:space="preserve"> </w:t>
      </w:r>
      <w:r>
        <w:rPr>
          <w:rFonts w:ascii="Sylfaen" w:eastAsia="Times New Roman" w:hAnsi="Sylfaen" w:cs="Sylfaen"/>
          <w:noProof/>
          <w:color w:val="000000"/>
          <w:lang w:val="es-ES"/>
        </w:rPr>
        <w:t>ნავთობი</w:t>
      </w:r>
      <w:r w:rsidRPr="00FE1240">
        <w:rPr>
          <w:rFonts w:ascii="Sylfaen" w:eastAsia="Times New Roman" w:hAnsi="Sylfaen" w:cs="Sylfaen"/>
          <w:noProof/>
          <w:color w:val="000000"/>
          <w:lang w:val="es-ES"/>
        </w:rPr>
        <w:t xml:space="preserve"> და ნავთობპროდუქტებ</w:t>
      </w:r>
      <w:r w:rsidRPr="00D32BE3">
        <w:rPr>
          <w:rFonts w:ascii="Sylfaen" w:eastAsia="Times New Roman" w:hAnsi="Sylfaen" w:cs="Sylfaen"/>
          <w:noProof/>
          <w:color w:val="000000"/>
          <w:lang w:val="es-ES"/>
        </w:rPr>
        <w:t xml:space="preserve">ი </w:t>
      </w:r>
      <w:r w:rsidRPr="00832488">
        <w:rPr>
          <w:rFonts w:ascii="Sylfaen" w:eastAsia="Times New Roman" w:hAnsi="Sylfaen" w:cs="Sylfaen"/>
          <w:noProof/>
          <w:color w:val="000000"/>
          <w:lang w:val="es-ES"/>
        </w:rPr>
        <w:t>იყო</w:t>
      </w:r>
      <w:r w:rsidRPr="000D6691">
        <w:rPr>
          <w:rFonts w:ascii="Sylfaen" w:eastAsia="Times New Roman" w:hAnsi="Sylfaen" w:cs="Sylfaen"/>
          <w:noProof/>
          <w:color w:val="000000"/>
          <w:lang w:val="es-ES"/>
        </w:rPr>
        <w:t>, რომლის იმპორტმა</w:t>
      </w:r>
      <w:r>
        <w:rPr>
          <w:rFonts w:ascii="Sylfaen" w:eastAsia="Times New Roman" w:hAnsi="Sylfaen" w:cs="Sylfaen"/>
          <w:noProof/>
          <w:color w:val="000000"/>
          <w:lang w:val="es-ES"/>
        </w:rPr>
        <w:t xml:space="preserve"> </w:t>
      </w:r>
      <w:r>
        <w:rPr>
          <w:rFonts w:ascii="Sylfaen" w:eastAsia="Times New Roman" w:hAnsi="Sylfaen" w:cs="Sylfaen"/>
          <w:noProof/>
          <w:color w:val="000000"/>
          <w:lang w:val="ka-GE"/>
        </w:rPr>
        <w:t>619</w:t>
      </w:r>
      <w:r w:rsidRPr="0052645A">
        <w:rPr>
          <w:rFonts w:ascii="Sylfaen" w:eastAsia="Times New Roman" w:hAnsi="Sylfaen" w:cs="Sylfaen"/>
          <w:noProof/>
          <w:color w:val="000000"/>
          <w:lang w:val="es-ES"/>
        </w:rPr>
        <w:t xml:space="preserve"> </w:t>
      </w:r>
      <w:r w:rsidRPr="000D6691">
        <w:rPr>
          <w:rFonts w:ascii="Sylfaen" w:eastAsia="Times New Roman" w:hAnsi="Sylfaen" w:cs="Sylfaen"/>
          <w:noProof/>
          <w:color w:val="000000"/>
          <w:lang w:val="es-ES"/>
        </w:rPr>
        <w:t>მლნ.</w:t>
      </w:r>
      <w:r>
        <w:rPr>
          <w:rFonts w:ascii="Sylfaen" w:eastAsia="Times New Roman" w:hAnsi="Sylfaen" w:cs="Sylfaen"/>
          <w:noProof/>
          <w:color w:val="000000"/>
          <w:lang w:val="es-ES"/>
        </w:rPr>
        <w:t xml:space="preserve"> აშშ დოლარი და მთელი იმპორტის</w:t>
      </w:r>
      <w:r w:rsidRPr="00832488">
        <w:rPr>
          <w:rFonts w:ascii="Sylfaen" w:eastAsia="Times New Roman" w:hAnsi="Sylfaen" w:cs="Sylfaen"/>
          <w:noProof/>
          <w:color w:val="000000"/>
          <w:lang w:val="es-ES"/>
        </w:rPr>
        <w:t xml:space="preserve"> </w:t>
      </w:r>
      <w:r>
        <w:rPr>
          <w:rFonts w:ascii="Sylfaen" w:eastAsia="Times New Roman" w:hAnsi="Sylfaen" w:cs="Sylfaen"/>
          <w:noProof/>
          <w:color w:val="000000"/>
          <w:lang w:val="ka-GE"/>
        </w:rPr>
        <w:t>9</w:t>
      </w:r>
      <w:r w:rsidRPr="004B4D4E">
        <w:rPr>
          <w:rFonts w:ascii="Sylfaen" w:eastAsia="Times New Roman" w:hAnsi="Sylfaen" w:cs="Sylfaen"/>
          <w:noProof/>
          <w:color w:val="000000"/>
          <w:lang w:val="es-ES"/>
        </w:rPr>
        <w:t xml:space="preserve"> </w:t>
      </w:r>
      <w:r w:rsidRPr="000D6691">
        <w:rPr>
          <w:rFonts w:ascii="Sylfaen" w:eastAsia="Times New Roman" w:hAnsi="Sylfaen" w:cs="Sylfaen"/>
          <w:noProof/>
          <w:color w:val="000000"/>
          <w:lang w:val="es-ES"/>
        </w:rPr>
        <w:t xml:space="preserve">პროცენტი </w:t>
      </w:r>
      <w:r>
        <w:rPr>
          <w:rFonts w:ascii="Sylfaen" w:eastAsia="Times New Roman" w:hAnsi="Sylfaen" w:cs="Sylfaen"/>
          <w:noProof/>
          <w:color w:val="000000"/>
          <w:lang w:val="es-ES"/>
        </w:rPr>
        <w:t>შეადგინა.</w:t>
      </w:r>
      <w:r>
        <w:rPr>
          <w:rFonts w:ascii="Sylfaen" w:eastAsia="Times New Roman" w:hAnsi="Sylfaen" w:cs="Sylfaen"/>
          <w:noProof/>
          <w:color w:val="000000"/>
          <w:lang w:val="ka-GE"/>
        </w:rPr>
        <w:t xml:space="preserve"> </w:t>
      </w:r>
      <w:r w:rsidRPr="001B33D9">
        <w:rPr>
          <w:rFonts w:ascii="Sylfaen" w:eastAsia="Times New Roman" w:hAnsi="Sylfaen" w:cs="Sylfaen"/>
          <w:noProof/>
          <w:color w:val="000000"/>
          <w:lang w:val="es-ES"/>
        </w:rPr>
        <w:t>მეორე ადგილზე იმყ</w:t>
      </w:r>
      <w:r w:rsidRPr="000D6691">
        <w:rPr>
          <w:rFonts w:ascii="Sylfaen" w:eastAsia="Times New Roman" w:hAnsi="Sylfaen" w:cs="Sylfaen"/>
          <w:noProof/>
          <w:color w:val="000000"/>
          <w:lang w:val="es-ES"/>
        </w:rPr>
        <w:t>ოფ</w:t>
      </w:r>
      <w:bookmarkStart w:id="1" w:name="OLE_LINK1"/>
      <w:r w:rsidRPr="000D6691">
        <w:rPr>
          <w:rFonts w:ascii="Sylfaen" w:eastAsia="Times New Roman" w:hAnsi="Sylfaen" w:cs="Sylfaen"/>
          <w:noProof/>
          <w:color w:val="000000"/>
          <w:lang w:val="es-ES"/>
        </w:rPr>
        <w:t>ებოდა</w:t>
      </w:r>
      <w:r w:rsidRPr="004B4D4E">
        <w:rPr>
          <w:rFonts w:ascii="Sylfaen" w:eastAsia="Times New Roman" w:hAnsi="Sylfaen" w:cs="Sylfaen"/>
          <w:noProof/>
          <w:color w:val="000000"/>
          <w:lang w:val="es-ES"/>
        </w:rPr>
        <w:t xml:space="preserve"> </w:t>
      </w:r>
      <w:bookmarkEnd w:id="1"/>
      <w:r w:rsidRPr="00E70840">
        <w:rPr>
          <w:rFonts w:ascii="Sylfaen" w:eastAsia="Times New Roman" w:hAnsi="Sylfaen" w:cs="Sylfaen"/>
          <w:noProof/>
          <w:color w:val="000000"/>
          <w:lang w:val="es-ES"/>
        </w:rPr>
        <w:t>მსუბუქი ავტომობილებ</w:t>
      </w:r>
      <w:r w:rsidRPr="00D32BE3">
        <w:rPr>
          <w:rFonts w:ascii="Sylfaen" w:eastAsia="Times New Roman" w:hAnsi="Sylfaen" w:cs="Sylfaen"/>
          <w:noProof/>
          <w:color w:val="000000"/>
          <w:lang w:val="es-ES"/>
        </w:rPr>
        <w:t>ის</w:t>
      </w:r>
      <w:r w:rsidRPr="00BA4ADF">
        <w:rPr>
          <w:rFonts w:ascii="Sylfaen" w:eastAsia="Times New Roman" w:hAnsi="Sylfaen" w:cs="Sylfaen"/>
          <w:noProof/>
          <w:color w:val="000000"/>
          <w:lang w:val="es-ES"/>
        </w:rPr>
        <w:t xml:space="preserve"> </w:t>
      </w:r>
      <w:r w:rsidRPr="000D6691">
        <w:rPr>
          <w:rFonts w:ascii="Sylfaen" w:eastAsia="Times New Roman" w:hAnsi="Sylfaen" w:cs="Sylfaen"/>
          <w:noProof/>
          <w:color w:val="000000"/>
          <w:lang w:val="es-ES"/>
        </w:rPr>
        <w:t>სასაქონლო ჯგუფი</w:t>
      </w:r>
      <w:r w:rsidRPr="00BA4ADF">
        <w:rPr>
          <w:rFonts w:ascii="Sylfaen" w:eastAsia="Times New Roman" w:hAnsi="Sylfaen" w:cs="Sylfaen"/>
          <w:noProof/>
          <w:color w:val="000000"/>
          <w:lang w:val="es-ES"/>
        </w:rPr>
        <w:t xml:space="preserve"> 477 </w:t>
      </w:r>
      <w:r>
        <w:rPr>
          <w:rFonts w:ascii="Sylfaen" w:eastAsia="Times New Roman" w:hAnsi="Sylfaen" w:cs="Sylfaen"/>
          <w:noProof/>
          <w:color w:val="000000"/>
          <w:lang w:val="es-ES"/>
        </w:rPr>
        <w:t xml:space="preserve">მლნ. აშშ დოლარით, რაც იმპორტის </w:t>
      </w:r>
      <w:r w:rsidRPr="00BA4ADF">
        <w:rPr>
          <w:rFonts w:ascii="Sylfaen" w:eastAsia="Times New Roman" w:hAnsi="Sylfaen" w:cs="Sylfaen"/>
          <w:noProof/>
          <w:color w:val="000000"/>
          <w:lang w:val="es-ES"/>
        </w:rPr>
        <w:t xml:space="preserve">7 </w:t>
      </w:r>
      <w:r w:rsidRPr="000D6691">
        <w:rPr>
          <w:rFonts w:ascii="Sylfaen" w:eastAsia="Times New Roman" w:hAnsi="Sylfaen" w:cs="Sylfaen"/>
          <w:noProof/>
          <w:color w:val="000000"/>
          <w:lang w:val="es-ES"/>
        </w:rPr>
        <w:t xml:space="preserve">პროცენტი </w:t>
      </w:r>
      <w:r w:rsidRPr="00B41316">
        <w:rPr>
          <w:rFonts w:ascii="Sylfaen" w:eastAsia="Times New Roman" w:hAnsi="Sylfaen" w:cs="Sylfaen"/>
          <w:noProof/>
          <w:color w:val="000000"/>
          <w:lang w:val="es-ES"/>
        </w:rPr>
        <w:t>იყო. მესამე ადგილზ</w:t>
      </w:r>
      <w:r w:rsidRPr="000F5F7B">
        <w:rPr>
          <w:rFonts w:ascii="Sylfaen" w:eastAsia="Times New Roman" w:hAnsi="Sylfaen" w:cs="Sylfaen"/>
          <w:noProof/>
          <w:color w:val="000000"/>
          <w:lang w:val="es-ES"/>
        </w:rPr>
        <w:t>ე</w:t>
      </w:r>
      <w:r w:rsidRPr="00B56A67">
        <w:rPr>
          <w:rFonts w:ascii="Sylfaen" w:eastAsia="Times New Roman" w:hAnsi="Sylfaen" w:cs="Sylfaen"/>
          <w:noProof/>
          <w:color w:val="000000"/>
          <w:lang w:val="es-ES"/>
        </w:rPr>
        <w:t xml:space="preserve"> სამკურნალო საშუალებების </w:t>
      </w:r>
      <w:r w:rsidRPr="00B41316">
        <w:rPr>
          <w:rFonts w:ascii="Sylfaen" w:eastAsia="Times New Roman" w:hAnsi="Sylfaen" w:cs="Sylfaen"/>
          <w:noProof/>
          <w:color w:val="000000"/>
          <w:lang w:val="es-ES"/>
        </w:rPr>
        <w:t>სასაქონლო</w:t>
      </w:r>
      <w:r w:rsidRPr="00382AD2">
        <w:rPr>
          <w:rFonts w:ascii="Sylfaen" w:eastAsia="Times New Roman" w:hAnsi="Sylfaen" w:cs="Sylfaen"/>
          <w:noProof/>
          <w:color w:val="000000"/>
          <w:lang w:val="es-ES"/>
        </w:rPr>
        <w:t xml:space="preserve"> </w:t>
      </w:r>
      <w:r w:rsidRPr="00B41316">
        <w:rPr>
          <w:rFonts w:ascii="Sylfaen" w:eastAsia="Times New Roman" w:hAnsi="Sylfaen" w:cs="Sylfaen"/>
          <w:noProof/>
          <w:color w:val="000000"/>
          <w:lang w:val="es-ES"/>
        </w:rPr>
        <w:t>ჯგუფ</w:t>
      </w:r>
      <w:r w:rsidRPr="00382AD2">
        <w:rPr>
          <w:rFonts w:ascii="Sylfaen" w:eastAsia="Times New Roman" w:hAnsi="Sylfaen" w:cs="Sylfaen"/>
          <w:noProof/>
          <w:color w:val="000000"/>
          <w:lang w:val="es-ES"/>
        </w:rPr>
        <w:t xml:space="preserve">ი </w:t>
      </w:r>
      <w:r w:rsidRPr="000F5F7B">
        <w:rPr>
          <w:rFonts w:ascii="Sylfaen" w:eastAsia="Times New Roman" w:hAnsi="Sylfaen" w:cs="Sylfaen"/>
          <w:noProof/>
          <w:color w:val="000000"/>
          <w:lang w:val="es-ES"/>
        </w:rPr>
        <w:t>დაფიქსირდა</w:t>
      </w:r>
      <w:r w:rsidRPr="00BA4ADF">
        <w:rPr>
          <w:rFonts w:ascii="Sylfaen" w:eastAsia="Times New Roman" w:hAnsi="Sylfaen" w:cs="Sylfaen"/>
          <w:noProof/>
          <w:color w:val="000000"/>
          <w:lang w:val="es-ES"/>
        </w:rPr>
        <w:t xml:space="preserve"> </w:t>
      </w:r>
      <w:r>
        <w:rPr>
          <w:rFonts w:ascii="Sylfaen" w:eastAsia="Times New Roman" w:hAnsi="Sylfaen" w:cs="Sylfaen"/>
          <w:noProof/>
          <w:color w:val="000000"/>
          <w:lang w:val="ka-GE"/>
        </w:rPr>
        <w:t>326</w:t>
      </w:r>
      <w:r w:rsidRPr="00D32BE3">
        <w:rPr>
          <w:rFonts w:ascii="Sylfaen" w:eastAsia="Times New Roman" w:hAnsi="Sylfaen" w:cs="Sylfaen"/>
          <w:noProof/>
          <w:color w:val="000000"/>
          <w:lang w:val="es-ES"/>
        </w:rPr>
        <w:t xml:space="preserve"> </w:t>
      </w:r>
      <w:r>
        <w:rPr>
          <w:rFonts w:ascii="Sylfaen" w:eastAsia="Times New Roman" w:hAnsi="Sylfaen" w:cs="Sylfaen"/>
          <w:noProof/>
          <w:color w:val="000000"/>
          <w:lang w:val="es-ES"/>
        </w:rPr>
        <w:t>მლნ. აშშ დოლარით (იმპორტის</w:t>
      </w:r>
      <w:r w:rsidRPr="00BA4ADF">
        <w:rPr>
          <w:rFonts w:ascii="Sylfaen" w:eastAsia="Times New Roman" w:hAnsi="Sylfaen" w:cs="Sylfaen"/>
          <w:noProof/>
          <w:color w:val="000000"/>
          <w:lang w:val="es-ES"/>
        </w:rPr>
        <w:t xml:space="preserve"> </w:t>
      </w:r>
      <w:r>
        <w:rPr>
          <w:rFonts w:ascii="Sylfaen" w:eastAsia="Times New Roman" w:hAnsi="Sylfaen" w:cs="Sylfaen"/>
          <w:noProof/>
          <w:color w:val="000000"/>
          <w:lang w:val="ka-GE"/>
        </w:rPr>
        <w:t>5</w:t>
      </w:r>
      <w:r w:rsidRPr="000F5F7B">
        <w:rPr>
          <w:rFonts w:ascii="Sylfaen" w:eastAsia="Times New Roman" w:hAnsi="Sylfaen" w:cs="Sylfaen"/>
          <w:noProof/>
          <w:color w:val="000000"/>
          <w:lang w:val="es-ES"/>
        </w:rPr>
        <w:t xml:space="preserve"> </w:t>
      </w:r>
      <w:r w:rsidRPr="00B41316">
        <w:rPr>
          <w:rFonts w:ascii="Sylfaen" w:eastAsia="Times New Roman" w:hAnsi="Sylfaen" w:cs="Sylfaen"/>
          <w:noProof/>
          <w:color w:val="000000"/>
          <w:lang w:val="es-ES"/>
        </w:rPr>
        <w:t xml:space="preserve">პროცენტი).  </w:t>
      </w:r>
    </w:p>
    <w:p w:rsidR="00E6516A" w:rsidRPr="00E6516A" w:rsidRDefault="000271CF" w:rsidP="004C163F">
      <w:pPr>
        <w:suppressLineNumbers/>
        <w:spacing w:line="360" w:lineRule="auto"/>
        <w:ind w:left="-567"/>
        <w:jc w:val="both"/>
        <w:rPr>
          <w:rFonts w:ascii="Sylfaen" w:eastAsia="Times New Roman" w:hAnsi="Sylfaen" w:cs="Sylfaen"/>
          <w:noProof/>
          <w:color w:val="000000"/>
        </w:rPr>
      </w:pPr>
      <w:r w:rsidRPr="000271CF">
        <w:rPr>
          <w:rFonts w:ascii="Sylfaen" w:eastAsia="Times New Roman" w:hAnsi="Sylfaen" w:cs="Sylfaen"/>
          <w:noProof/>
          <w:color w:val="000000"/>
        </w:rPr>
        <w:lastRenderedPageBreak/>
        <w:drawing>
          <wp:inline distT="0" distB="0" distL="0" distR="0">
            <wp:extent cx="5715000" cy="3431175"/>
            <wp:effectExtent l="0" t="0" r="0" b="0"/>
            <wp:docPr id="7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49F7" w:rsidRPr="00E6516A" w:rsidRDefault="00E349F7" w:rsidP="00E349F7">
      <w:pPr>
        <w:spacing w:line="300" w:lineRule="atLeast"/>
        <w:ind w:left="567" w:hanging="425"/>
        <w:rPr>
          <w:rFonts w:ascii="Sylfaen" w:hAnsi="Sylfaen" w:cs="Arial"/>
          <w:sz w:val="18"/>
          <w:szCs w:val="18"/>
        </w:rPr>
      </w:pPr>
      <w:r w:rsidRPr="00E6516A">
        <w:rPr>
          <w:rFonts w:ascii="Sylfaen" w:hAnsi="Sylfaen" w:cs="Arial"/>
          <w:sz w:val="18"/>
          <w:szCs w:val="18"/>
          <w:lang w:val="ka-GE"/>
        </w:rPr>
        <w:t xml:space="preserve">     *წინასწარი მონაცემები.</w:t>
      </w:r>
    </w:p>
    <w:p w:rsidR="00E349F7" w:rsidRDefault="00E349F7" w:rsidP="00E349F7">
      <w:pPr>
        <w:spacing w:line="300" w:lineRule="atLeast"/>
        <w:ind w:left="567" w:hanging="425"/>
        <w:rPr>
          <w:rFonts w:ascii="Sylfaen" w:hAnsi="Sylfaen" w:cs="Sylfaen"/>
          <w:b/>
          <w:noProof/>
          <w:color w:val="FF0000"/>
          <w:sz w:val="20"/>
          <w:szCs w:val="20"/>
        </w:rPr>
      </w:pPr>
    </w:p>
    <w:p w:rsidR="000271CF" w:rsidRDefault="000271CF" w:rsidP="00E349F7">
      <w:pPr>
        <w:spacing w:line="300" w:lineRule="atLeast"/>
        <w:ind w:left="567" w:hanging="425"/>
        <w:rPr>
          <w:rFonts w:ascii="Sylfaen" w:hAnsi="Sylfaen" w:cs="Sylfaen"/>
          <w:b/>
          <w:noProof/>
          <w:color w:val="FF0000"/>
          <w:sz w:val="20"/>
          <w:szCs w:val="20"/>
        </w:rPr>
      </w:pPr>
    </w:p>
    <w:p w:rsidR="000271CF" w:rsidRDefault="000271CF" w:rsidP="00E349F7">
      <w:pPr>
        <w:spacing w:line="300" w:lineRule="atLeast"/>
        <w:ind w:left="567" w:hanging="425"/>
        <w:rPr>
          <w:rFonts w:ascii="Sylfaen" w:hAnsi="Sylfaen" w:cs="Sylfaen"/>
          <w:b/>
          <w:noProof/>
          <w:color w:val="FF0000"/>
          <w:sz w:val="20"/>
          <w:szCs w:val="20"/>
        </w:rPr>
      </w:pPr>
    </w:p>
    <w:p w:rsidR="000271CF" w:rsidRPr="00AA041B" w:rsidRDefault="000271CF" w:rsidP="00E349F7">
      <w:pPr>
        <w:spacing w:line="300" w:lineRule="atLeast"/>
        <w:ind w:left="567" w:hanging="425"/>
        <w:rPr>
          <w:rFonts w:ascii="Sylfaen" w:hAnsi="Sylfaen" w:cs="Sylfaen"/>
          <w:b/>
          <w:noProof/>
          <w:color w:val="FF0000"/>
          <w:sz w:val="20"/>
          <w:szCs w:val="20"/>
        </w:rPr>
      </w:pPr>
    </w:p>
    <w:p w:rsidR="00266D3D" w:rsidRDefault="000271CF" w:rsidP="004C163F">
      <w:pPr>
        <w:tabs>
          <w:tab w:val="left" w:pos="2595"/>
        </w:tabs>
        <w:ind w:left="-567"/>
        <w:rPr>
          <w:color w:val="FF0000"/>
        </w:rPr>
      </w:pPr>
      <w:r w:rsidRPr="000271CF">
        <w:rPr>
          <w:noProof/>
          <w:color w:val="FF0000"/>
        </w:rPr>
        <w:drawing>
          <wp:inline distT="0" distB="0" distL="0" distR="0">
            <wp:extent cx="5715000" cy="3115878"/>
            <wp:effectExtent l="19050" t="0" r="0" b="0"/>
            <wp:docPr id="7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349F7" w:rsidRPr="00266D3D" w:rsidRDefault="00E349F7" w:rsidP="004C163F">
      <w:pPr>
        <w:tabs>
          <w:tab w:val="left" w:pos="2595"/>
        </w:tabs>
        <w:ind w:left="-284"/>
        <w:rPr>
          <w:color w:val="FF0000"/>
        </w:rPr>
      </w:pPr>
      <w:r w:rsidRPr="00266D3D">
        <w:rPr>
          <w:rFonts w:ascii="Sylfaen" w:hAnsi="Sylfaen" w:cs="Arial"/>
          <w:sz w:val="18"/>
          <w:szCs w:val="18"/>
          <w:lang w:val="ka-GE"/>
        </w:rPr>
        <w:t xml:space="preserve"> *წინასწარი მონაცემები.</w:t>
      </w:r>
    </w:p>
    <w:p w:rsidR="00E349F7" w:rsidRPr="004C163F" w:rsidRDefault="000271CF" w:rsidP="004C163F">
      <w:pPr>
        <w:tabs>
          <w:tab w:val="left" w:pos="4425"/>
        </w:tabs>
        <w:ind w:left="-426"/>
        <w:rPr>
          <w:color w:val="FF0000"/>
        </w:rPr>
      </w:pPr>
      <w:r w:rsidRPr="000271CF">
        <w:rPr>
          <w:noProof/>
          <w:color w:val="FF0000"/>
        </w:rPr>
        <w:lastRenderedPageBreak/>
        <w:drawing>
          <wp:inline distT="0" distB="0" distL="0" distR="0">
            <wp:extent cx="5715000" cy="2889191"/>
            <wp:effectExtent l="0" t="0" r="0" b="0"/>
            <wp:docPr id="7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E349F7" w:rsidRPr="00266D3D">
        <w:rPr>
          <w:rFonts w:ascii="Sylfaen" w:hAnsi="Sylfaen" w:cs="Arial"/>
          <w:sz w:val="18"/>
          <w:szCs w:val="18"/>
          <w:lang w:val="ka-GE"/>
        </w:rPr>
        <w:t xml:space="preserve"> *წინასწარი მონაცემები.</w:t>
      </w:r>
    </w:p>
    <w:p w:rsidR="00090E3A" w:rsidRPr="005B0150" w:rsidRDefault="00E349F7" w:rsidP="00090E3A">
      <w:pPr>
        <w:spacing w:after="0" w:line="312" w:lineRule="auto"/>
        <w:jc w:val="center"/>
        <w:rPr>
          <w:rFonts w:ascii="Sylfaen" w:hAnsi="Sylfaen" w:cs="Sylfaen"/>
          <w:b/>
          <w:noProof/>
          <w:sz w:val="24"/>
          <w:szCs w:val="24"/>
        </w:rPr>
      </w:pPr>
      <w:r w:rsidRPr="00AA041B">
        <w:rPr>
          <w:color w:val="FF0000"/>
        </w:rPr>
        <w:br w:type="page"/>
      </w:r>
      <w:r w:rsidR="00090E3A" w:rsidRPr="005B0150">
        <w:rPr>
          <w:rFonts w:ascii="Sylfaen" w:hAnsi="Sylfaen" w:cs="Sylfaen"/>
          <w:b/>
          <w:noProof/>
          <w:sz w:val="24"/>
          <w:szCs w:val="24"/>
          <w:lang w:val="ka-GE"/>
        </w:rPr>
        <w:lastRenderedPageBreak/>
        <w:t xml:space="preserve">საწარმოთა საქმიანობის შედეგები </w:t>
      </w:r>
    </w:p>
    <w:p w:rsidR="00090E3A" w:rsidRPr="006F0273" w:rsidRDefault="00090E3A" w:rsidP="00090E3A">
      <w:pPr>
        <w:tabs>
          <w:tab w:val="left" w:pos="3469"/>
          <w:tab w:val="center" w:pos="5400"/>
        </w:tabs>
        <w:spacing w:before="120" w:after="120" w:line="312" w:lineRule="auto"/>
        <w:jc w:val="center"/>
        <w:rPr>
          <w:rFonts w:ascii="Sylfaen" w:hAnsi="Sylfaen" w:cs="Sylfaen"/>
          <w:noProof/>
        </w:rPr>
      </w:pPr>
      <w:r w:rsidRPr="006F0273">
        <w:rPr>
          <w:rFonts w:ascii="Sylfaen" w:hAnsi="Sylfaen" w:cs="Sylfaen"/>
          <w:noProof/>
        </w:rPr>
        <w:t>(20</w:t>
      </w:r>
      <w:r w:rsidRPr="006F0273">
        <w:rPr>
          <w:rFonts w:ascii="Sylfaen" w:hAnsi="Sylfaen" w:cs="Sylfaen"/>
          <w:noProof/>
          <w:lang w:val="ka-GE"/>
        </w:rPr>
        <w:t>1</w:t>
      </w:r>
      <w:r>
        <w:rPr>
          <w:rFonts w:ascii="Sylfaen" w:hAnsi="Sylfaen" w:cs="Sylfaen"/>
          <w:noProof/>
        </w:rPr>
        <w:t>6</w:t>
      </w:r>
      <w:r w:rsidRPr="006F0273">
        <w:rPr>
          <w:rFonts w:ascii="Sylfaen" w:hAnsi="Sylfaen" w:cs="Sylfaen"/>
          <w:noProof/>
          <w:lang w:val="ka-GE"/>
        </w:rPr>
        <w:t xml:space="preserve"> წლის </w:t>
      </w:r>
      <w:r w:rsidRPr="006F0273">
        <w:rPr>
          <w:rFonts w:ascii="Sylfaen" w:hAnsi="Sylfaen" w:cs="Sylfaen"/>
          <w:noProof/>
        </w:rPr>
        <w:t xml:space="preserve">IV </w:t>
      </w:r>
      <w:r w:rsidRPr="006F0273">
        <w:rPr>
          <w:rFonts w:ascii="Sylfaen" w:hAnsi="Sylfaen" w:cs="Sylfaen"/>
          <w:noProof/>
          <w:lang w:val="ka-GE"/>
        </w:rPr>
        <w:t>კვარტალი</w:t>
      </w:r>
      <w:r w:rsidRPr="006F0273">
        <w:rPr>
          <w:rFonts w:ascii="Sylfaen" w:hAnsi="Sylfaen" w:cs="Sylfaen"/>
          <w:noProof/>
        </w:rPr>
        <w:t>)</w:t>
      </w:r>
    </w:p>
    <w:p w:rsidR="00090E3A" w:rsidRPr="008D6C05" w:rsidRDefault="00090E3A" w:rsidP="00090E3A">
      <w:pPr>
        <w:shd w:val="clear" w:color="auto" w:fill="FFFFFF"/>
        <w:spacing w:after="0" w:line="312" w:lineRule="auto"/>
        <w:ind w:left="-567"/>
        <w:jc w:val="both"/>
        <w:rPr>
          <w:rFonts w:ascii="Sylfaen" w:hAnsi="Sylfaen"/>
          <w:lang w:val="ka-GE"/>
        </w:rPr>
      </w:pPr>
      <w:bookmarkStart w:id="2" w:name="OLE_LINK3"/>
      <w:bookmarkStart w:id="3" w:name="OLE_LINK4"/>
      <w:r w:rsidRPr="008D6C05">
        <w:rPr>
          <w:rFonts w:ascii="Sylfaen" w:hAnsi="Sylfaen"/>
          <w:lang w:val="ka-GE"/>
        </w:rPr>
        <w:t>ბიზნეს სექტორის ბრუნვის მოცულობა 2016 წლის მეოთხე კვარტალში, გასუ</w:t>
      </w:r>
      <w:r w:rsidRPr="008D6C05">
        <w:rPr>
          <w:rFonts w:ascii="Sylfaen" w:hAnsi="Sylfaen"/>
          <w:lang w:val="ka-GE"/>
        </w:rPr>
        <w:softHyphen/>
        <w:t xml:space="preserve">ლი წლის შესაბამის პერიოდთან შედარებით </w:t>
      </w:r>
      <w:r>
        <w:rPr>
          <w:rFonts w:ascii="Sylfaen" w:hAnsi="Sylfaen"/>
        </w:rPr>
        <w:t>15,3</w:t>
      </w:r>
      <w:r w:rsidRPr="008D6C05">
        <w:rPr>
          <w:rFonts w:ascii="Sylfaen" w:hAnsi="Sylfaen"/>
          <w:lang w:val="ka-GE"/>
        </w:rPr>
        <w:t xml:space="preserve">%-ით გაიზარდა და </w:t>
      </w:r>
      <w:r w:rsidRPr="008D6C05">
        <w:rPr>
          <w:rFonts w:ascii="Sylfaen" w:hAnsi="Sylfaen"/>
        </w:rPr>
        <w:t>17,4</w:t>
      </w:r>
      <w:r w:rsidRPr="008D6C05">
        <w:rPr>
          <w:rFonts w:ascii="Sylfaen" w:hAnsi="Sylfaen"/>
          <w:lang w:val="ka-GE"/>
        </w:rPr>
        <w:t xml:space="preserve"> მილიარდი ლარი შეადგინა.</w:t>
      </w:r>
    </w:p>
    <w:p w:rsidR="00090E3A" w:rsidRPr="002D1DE0" w:rsidRDefault="00090E3A" w:rsidP="00090E3A">
      <w:pPr>
        <w:shd w:val="clear" w:color="auto" w:fill="FFFFFF"/>
        <w:spacing w:before="120" w:after="0" w:line="312" w:lineRule="auto"/>
        <w:ind w:left="-567"/>
        <w:jc w:val="both"/>
        <w:rPr>
          <w:rFonts w:ascii="Sylfaen" w:hAnsi="Sylfaen"/>
        </w:rPr>
      </w:pPr>
      <w:r w:rsidRPr="008D6C05">
        <w:rPr>
          <w:rFonts w:ascii="Sylfaen" w:hAnsi="Sylfaen"/>
          <w:lang w:val="ka-GE"/>
        </w:rPr>
        <w:t>ზრდის ტენდენციით ხასიათდება ბიზნეს სექტორის პროდუქციის გამოშვე</w:t>
      </w:r>
      <w:r w:rsidRPr="008D6C05">
        <w:rPr>
          <w:rFonts w:ascii="Sylfaen" w:hAnsi="Sylfaen"/>
          <w:lang w:val="ka-GE"/>
        </w:rPr>
        <w:softHyphen/>
        <w:t>ბის</w:t>
      </w:r>
      <w:r w:rsidRPr="008D6C05">
        <w:rPr>
          <w:rFonts w:ascii="Sylfaen" w:hAnsi="Sylfaen"/>
        </w:rPr>
        <w:t xml:space="preserve"> </w:t>
      </w:r>
      <w:r w:rsidRPr="008D6C05">
        <w:rPr>
          <w:rFonts w:ascii="Sylfaen" w:hAnsi="Sylfaen"/>
          <w:lang w:val="ka-GE"/>
        </w:rPr>
        <w:t>მაჩვენებელიც. 2016 წლის მეოთხე კვარტალში</w:t>
      </w:r>
      <w:r w:rsidRPr="008D6C05">
        <w:rPr>
          <w:rFonts w:ascii="Sylfaen" w:hAnsi="Sylfaen"/>
        </w:rPr>
        <w:t xml:space="preserve"> </w:t>
      </w:r>
      <w:r w:rsidRPr="008D6C05">
        <w:rPr>
          <w:rFonts w:ascii="Sylfaen" w:hAnsi="Sylfaen"/>
          <w:lang w:val="ka-GE"/>
        </w:rPr>
        <w:t>მისი მოცულობა 8,</w:t>
      </w:r>
      <w:r w:rsidRPr="008D6C05">
        <w:rPr>
          <w:rFonts w:ascii="Sylfaen" w:hAnsi="Sylfaen"/>
        </w:rPr>
        <w:t>8</w:t>
      </w:r>
      <w:r w:rsidRPr="008D6C05">
        <w:rPr>
          <w:rFonts w:ascii="Sylfaen" w:hAnsi="Sylfaen"/>
          <w:lang w:val="ka-GE"/>
        </w:rPr>
        <w:t xml:space="preserve"> მილიარდი ლარით განისაზღვრა, რაც </w:t>
      </w:r>
      <w:r>
        <w:rPr>
          <w:rFonts w:ascii="Sylfaen" w:hAnsi="Sylfaen"/>
        </w:rPr>
        <w:t>20.0</w:t>
      </w:r>
      <w:r w:rsidRPr="008D6C05">
        <w:rPr>
          <w:rFonts w:ascii="Sylfaen" w:hAnsi="Sylfaen"/>
        </w:rPr>
        <w:t>%-</w:t>
      </w:r>
      <w:r w:rsidRPr="008D6C05">
        <w:rPr>
          <w:rFonts w:ascii="Sylfaen" w:hAnsi="Sylfaen"/>
          <w:lang w:val="ka-GE"/>
        </w:rPr>
        <w:t>ით აღემატება გასული წლის შესაბამისი პერიდის მაჩვენებელს</w:t>
      </w:r>
      <w:r>
        <w:rPr>
          <w:rFonts w:ascii="Sylfaen" w:hAnsi="Sylfaen"/>
        </w:rPr>
        <w:t>.</w:t>
      </w:r>
    </w:p>
    <w:p w:rsidR="00090E3A" w:rsidRPr="008D6C05" w:rsidRDefault="00090E3A" w:rsidP="00090E3A">
      <w:pPr>
        <w:shd w:val="clear" w:color="auto" w:fill="FFFFFF"/>
        <w:spacing w:before="120" w:after="0" w:line="312" w:lineRule="auto"/>
        <w:ind w:left="-567"/>
        <w:jc w:val="both"/>
        <w:rPr>
          <w:rFonts w:ascii="Sylfaen" w:hAnsi="Sylfaen"/>
          <w:lang w:val="ka-GE"/>
        </w:rPr>
      </w:pPr>
      <w:r w:rsidRPr="008D6C05">
        <w:rPr>
          <w:rFonts w:ascii="Sylfaen" w:hAnsi="Sylfaen"/>
          <w:lang w:val="ka-GE"/>
        </w:rPr>
        <w:t>2016 წლის მეოთხე კვარტალში მთლიანი ბრუნვის 81,0% მოდის მსხვილ ბიზნესზე, 9,4% - საშუალო, ხოლო 9,6% - მცირე ბიზნესზე</w:t>
      </w:r>
      <w:bookmarkStart w:id="4" w:name="OLE_LINK2"/>
      <w:r w:rsidRPr="008D6C05">
        <w:rPr>
          <w:rFonts w:ascii="Sylfaen" w:hAnsi="Sylfaen"/>
        </w:rPr>
        <w:t xml:space="preserve"> </w:t>
      </w:r>
      <w:r w:rsidRPr="008D6C05">
        <w:rPr>
          <w:rFonts w:ascii="Sylfaen" w:hAnsi="Sylfaen"/>
          <w:lang w:val="ka-GE"/>
        </w:rPr>
        <w:t>ნაწილდება.</w:t>
      </w:r>
      <w:bookmarkEnd w:id="4"/>
    </w:p>
    <w:p w:rsidR="00090E3A" w:rsidRDefault="00090E3A" w:rsidP="00090E3A">
      <w:pPr>
        <w:spacing w:before="120" w:after="0" w:line="312" w:lineRule="auto"/>
        <w:ind w:left="-567"/>
        <w:jc w:val="both"/>
        <w:rPr>
          <w:rFonts w:ascii="Sylfaen" w:hAnsi="Sylfaen"/>
        </w:rPr>
      </w:pPr>
      <w:r w:rsidRPr="008D6C05">
        <w:rPr>
          <w:rFonts w:ascii="Sylfaen" w:hAnsi="Sylfaen"/>
          <w:lang w:val="ka-GE"/>
        </w:rPr>
        <w:t>ოდნავ განსხვავებული მდგომარეობაა პროდუქციის მთლიანი გამოშვების შემთხვე</w:t>
      </w:r>
      <w:r w:rsidRPr="008D6C05">
        <w:rPr>
          <w:rFonts w:ascii="Sylfaen" w:hAnsi="Sylfaen"/>
          <w:lang w:val="ka-GE"/>
        </w:rPr>
        <w:softHyphen/>
        <w:t>ვაში: მსხვილ ბიზ</w:t>
      </w:r>
      <w:r w:rsidRPr="008D6C05">
        <w:rPr>
          <w:rFonts w:ascii="Sylfaen" w:hAnsi="Sylfaen"/>
        </w:rPr>
        <w:softHyphen/>
      </w:r>
      <w:r w:rsidRPr="008D6C05">
        <w:rPr>
          <w:rFonts w:ascii="Sylfaen" w:hAnsi="Sylfaen"/>
          <w:lang w:val="ka-GE"/>
        </w:rPr>
        <w:t>ნეს</w:t>
      </w:r>
      <w:r w:rsidRPr="008D6C05">
        <w:rPr>
          <w:rFonts w:ascii="Sylfaen" w:hAnsi="Sylfaen"/>
        </w:rPr>
        <w:softHyphen/>
      </w:r>
      <w:r w:rsidRPr="008D6C05">
        <w:rPr>
          <w:rFonts w:ascii="Sylfaen" w:hAnsi="Sylfaen"/>
          <w:lang w:val="ka-GE"/>
        </w:rPr>
        <w:t>ზე მოდის პროდუქციის გამოშვების 79,0%, საშუალოზე - 11,3%, ხოლო მცირე ბიზნესზე - 9,7%.</w:t>
      </w:r>
      <w:r w:rsidRPr="00332C8D">
        <w:rPr>
          <w:rFonts w:ascii="Sylfaen" w:hAnsi="Sylfaen"/>
          <w:lang w:val="ka-GE"/>
        </w:rPr>
        <w:t xml:space="preserve">   </w:t>
      </w:r>
    </w:p>
    <w:p w:rsidR="00090E3A" w:rsidRPr="002D1DE0" w:rsidRDefault="00090E3A" w:rsidP="00090E3A">
      <w:pPr>
        <w:spacing w:after="0" w:line="312" w:lineRule="auto"/>
        <w:jc w:val="both"/>
        <w:rPr>
          <w:rFonts w:ascii="Sylfaen" w:hAnsi="Sylfaen" w:cs="Sylfaen"/>
          <w:noProof/>
          <w:color w:val="FF0000"/>
        </w:rPr>
      </w:pPr>
      <w:r w:rsidRPr="002D1DE0">
        <w:rPr>
          <w:rFonts w:ascii="Sylfaen" w:hAnsi="Sylfaen" w:cs="Sylfaen"/>
          <w:noProof/>
          <w:color w:val="FF0000"/>
        </w:rPr>
        <w:drawing>
          <wp:inline distT="0" distB="0" distL="0" distR="0">
            <wp:extent cx="5715000" cy="3306292"/>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2"/>
    <w:bookmarkEnd w:id="3"/>
    <w:p w:rsidR="00090E3A" w:rsidRPr="008D6C05" w:rsidRDefault="00090E3A" w:rsidP="00090E3A">
      <w:pPr>
        <w:spacing w:before="120" w:after="0" w:line="312" w:lineRule="auto"/>
        <w:ind w:left="-567"/>
        <w:jc w:val="both"/>
        <w:rPr>
          <w:rFonts w:ascii="Sylfaen" w:hAnsi="Sylfaen"/>
          <w:lang w:val="ka-GE"/>
        </w:rPr>
      </w:pPr>
      <w:r w:rsidRPr="008D6C05">
        <w:rPr>
          <w:rFonts w:ascii="Sylfaen" w:hAnsi="Sylfaen"/>
          <w:lang w:val="ka-GE"/>
        </w:rPr>
        <w:t>საწარმოთა მიერ განხორციელებულმა საქონლისა და მომსახურების მთლიანმა ყიდ</w:t>
      </w:r>
      <w:r w:rsidRPr="008D6C05">
        <w:rPr>
          <w:rFonts w:ascii="Sylfaen" w:hAnsi="Sylfaen"/>
          <w:lang w:val="ka-GE"/>
        </w:rPr>
        <w:softHyphen/>
        <w:t>ვებ</w:t>
      </w:r>
      <w:r w:rsidRPr="008D6C05">
        <w:rPr>
          <w:rFonts w:ascii="Sylfaen" w:hAnsi="Sylfaen"/>
          <w:lang w:val="ka-GE"/>
        </w:rPr>
        <w:softHyphen/>
        <w:t xml:space="preserve">მა 2016 წლის მეოთხე კვარტლის განმავლობაში </w:t>
      </w:r>
      <w:r w:rsidRPr="008D6C05">
        <w:rPr>
          <w:rFonts w:ascii="Sylfaen" w:hAnsi="Sylfaen"/>
        </w:rPr>
        <w:t>13,0</w:t>
      </w:r>
      <w:r w:rsidRPr="008D6C05">
        <w:rPr>
          <w:rFonts w:ascii="Sylfaen" w:hAnsi="Sylfaen"/>
          <w:lang w:val="ka-GE"/>
        </w:rPr>
        <w:t xml:space="preserve"> მლრდ. ლარი (გასული წლის შესა</w:t>
      </w:r>
      <w:r w:rsidRPr="008D6C05">
        <w:rPr>
          <w:rFonts w:ascii="Sylfaen" w:hAnsi="Sylfaen"/>
          <w:lang w:val="ka-GE"/>
        </w:rPr>
        <w:softHyphen/>
        <w:t>ბამის პერიოდთან შედარებით 2,4 %-ით მეტი), ხოლო გადა</w:t>
      </w:r>
      <w:r w:rsidRPr="008D6C05">
        <w:rPr>
          <w:rFonts w:ascii="Sylfaen" w:hAnsi="Sylfaen"/>
          <w:lang w:val="ka-GE"/>
        </w:rPr>
        <w:softHyphen/>
        <w:t>სა</w:t>
      </w:r>
      <w:r w:rsidRPr="008D6C05">
        <w:rPr>
          <w:rFonts w:ascii="Sylfaen" w:hAnsi="Sylfaen"/>
          <w:lang w:val="ka-GE"/>
        </w:rPr>
        <w:softHyphen/>
        <w:t>ყი</w:t>
      </w:r>
      <w:r w:rsidRPr="008D6C05">
        <w:rPr>
          <w:rFonts w:ascii="Sylfaen" w:hAnsi="Sylfaen"/>
          <w:lang w:val="ka-GE"/>
        </w:rPr>
        <w:softHyphen/>
        <w:t>დად განკუთვნილი საქონ</w:t>
      </w:r>
      <w:r w:rsidRPr="008D6C05">
        <w:rPr>
          <w:rFonts w:ascii="Sylfaen" w:hAnsi="Sylfaen"/>
          <w:lang w:val="ka-GE"/>
        </w:rPr>
        <w:softHyphen/>
        <w:t>ლისა და მომსახურების ყიდვებმა - 8,1 მლრდ. ლარი შეად</w:t>
      </w:r>
      <w:r w:rsidRPr="008D6C05">
        <w:rPr>
          <w:rFonts w:ascii="Sylfaen" w:hAnsi="Sylfaen"/>
          <w:lang w:val="ka-GE"/>
        </w:rPr>
        <w:softHyphen/>
        <w:t>გი</w:t>
      </w:r>
      <w:r w:rsidRPr="008D6C05">
        <w:rPr>
          <w:rFonts w:ascii="Sylfaen" w:hAnsi="Sylfaen"/>
          <w:lang w:val="ka-GE"/>
        </w:rPr>
        <w:softHyphen/>
        <w:t>ნა (გასული წლის შესა</w:t>
      </w:r>
      <w:r w:rsidRPr="008D6C05">
        <w:rPr>
          <w:rFonts w:ascii="Sylfaen" w:hAnsi="Sylfaen"/>
          <w:lang w:val="ka-GE"/>
        </w:rPr>
        <w:softHyphen/>
        <w:t>ბამის პერიოდთან შედარებით  11,7 %-ით მეტი).</w:t>
      </w:r>
    </w:p>
    <w:p w:rsidR="00090E3A" w:rsidRPr="002D1DE0" w:rsidRDefault="00090E3A" w:rsidP="00090E3A">
      <w:pPr>
        <w:spacing w:before="120" w:after="0" w:line="312" w:lineRule="auto"/>
        <w:ind w:left="-567"/>
        <w:jc w:val="both"/>
        <w:rPr>
          <w:rFonts w:ascii="Sylfaen" w:hAnsi="Sylfaen"/>
        </w:rPr>
      </w:pPr>
      <w:r w:rsidRPr="008D6C05">
        <w:rPr>
          <w:rFonts w:ascii="Sylfaen" w:hAnsi="Sylfaen"/>
          <w:lang w:val="ka-GE"/>
        </w:rPr>
        <w:t>დასაქ</w:t>
      </w:r>
      <w:r w:rsidRPr="008D6C05">
        <w:rPr>
          <w:rFonts w:ascii="Sylfaen" w:hAnsi="Sylfaen"/>
          <w:lang w:val="ka-GE"/>
        </w:rPr>
        <w:softHyphen/>
        <w:t>მე</w:t>
      </w:r>
      <w:r w:rsidRPr="008D6C05">
        <w:rPr>
          <w:rFonts w:ascii="Sylfaen" w:hAnsi="Sylfaen"/>
          <w:lang w:val="ka-GE"/>
        </w:rPr>
        <w:softHyphen/>
        <w:t xml:space="preserve">ბულთა  საშუალო რაოდენობამ  </w:t>
      </w:r>
      <w:r>
        <w:rPr>
          <w:rFonts w:ascii="Sylfaen" w:hAnsi="Sylfaen"/>
        </w:rPr>
        <w:t>6</w:t>
      </w:r>
      <w:r w:rsidRPr="008D6C05">
        <w:rPr>
          <w:rFonts w:ascii="Sylfaen" w:hAnsi="Sylfaen"/>
          <w:lang w:val="ka-GE"/>
        </w:rPr>
        <w:t>20,8  ათასი კაცი შეადგინა, რაც  გასული წლის შესა</w:t>
      </w:r>
      <w:r w:rsidRPr="008D6C05">
        <w:rPr>
          <w:rFonts w:ascii="Sylfaen" w:hAnsi="Sylfaen"/>
          <w:lang w:val="ka-GE"/>
        </w:rPr>
        <w:softHyphen/>
        <w:t>ბა</w:t>
      </w:r>
      <w:r w:rsidRPr="008D6C05">
        <w:rPr>
          <w:rFonts w:ascii="Sylfaen" w:hAnsi="Sylfaen"/>
          <w:lang w:val="ka-GE"/>
        </w:rPr>
        <w:softHyphen/>
        <w:t>მისი პერი</w:t>
      </w:r>
      <w:r w:rsidRPr="008D6C05">
        <w:rPr>
          <w:rFonts w:ascii="Sylfaen" w:hAnsi="Sylfaen"/>
          <w:lang w:val="ka-GE"/>
        </w:rPr>
        <w:softHyphen/>
        <w:t>ოდ</w:t>
      </w:r>
      <w:r w:rsidRPr="008D6C05">
        <w:rPr>
          <w:rFonts w:ascii="Sylfaen" w:hAnsi="Sylfaen"/>
          <w:lang w:val="ka-GE"/>
        </w:rPr>
        <w:softHyphen/>
      </w:r>
      <w:r w:rsidRPr="008D6C05">
        <w:rPr>
          <w:rFonts w:ascii="Sylfaen" w:hAnsi="Sylfaen"/>
          <w:lang w:val="ka-GE"/>
        </w:rPr>
        <w:softHyphen/>
      </w:r>
      <w:r w:rsidRPr="008D6C05">
        <w:rPr>
          <w:rFonts w:ascii="Sylfaen" w:hAnsi="Sylfaen"/>
          <w:lang w:val="ka-GE"/>
        </w:rPr>
        <w:softHyphen/>
        <w:t>ის მაჩვენებელს 6,2%-ით აღემატება. დასაქმებულთა მთლიანი რაოდენობიდან 40,7% ქალია, ხოლო 59,3% - კაცი</w:t>
      </w:r>
      <w:r>
        <w:rPr>
          <w:rFonts w:ascii="Sylfaen" w:hAnsi="Sylfaen"/>
        </w:rPr>
        <w:t>.</w:t>
      </w:r>
    </w:p>
    <w:p w:rsidR="00090E3A" w:rsidRPr="008D6C05" w:rsidRDefault="00090E3A" w:rsidP="00090E3A">
      <w:pPr>
        <w:spacing w:after="0" w:line="312" w:lineRule="auto"/>
        <w:ind w:left="-567"/>
        <w:jc w:val="both"/>
        <w:rPr>
          <w:rFonts w:ascii="Sylfaen" w:hAnsi="Sylfaen" w:cs="Sylfaen"/>
          <w:noProof/>
        </w:rPr>
      </w:pPr>
      <w:r w:rsidRPr="008D6C05">
        <w:rPr>
          <w:rFonts w:ascii="Sylfaen" w:hAnsi="Sylfaen" w:cs="Sylfaen"/>
          <w:noProof/>
        </w:rPr>
        <w:t xml:space="preserve">დასაქმებულთა მთლიანი რაოდენობის </w:t>
      </w:r>
      <w:r w:rsidRPr="008D6C05">
        <w:rPr>
          <w:rFonts w:ascii="Sylfaen" w:hAnsi="Sylfaen" w:cs="Sylfaen"/>
          <w:noProof/>
          <w:lang w:val="ka-GE"/>
        </w:rPr>
        <w:t>61,3</w:t>
      </w:r>
      <w:r w:rsidRPr="008D6C05">
        <w:rPr>
          <w:rFonts w:ascii="Sylfaen" w:hAnsi="Sylfaen" w:cs="Sylfaen"/>
          <w:noProof/>
        </w:rPr>
        <w:t xml:space="preserve">% მსხვილ ბიზნესზე მოდის, </w:t>
      </w:r>
      <w:r w:rsidRPr="008D6C05">
        <w:rPr>
          <w:rFonts w:ascii="Sylfaen" w:hAnsi="Sylfaen" w:cs="Sylfaen"/>
          <w:noProof/>
          <w:lang w:val="ka-GE"/>
        </w:rPr>
        <w:t>16,6</w:t>
      </w:r>
      <w:r w:rsidRPr="008D6C05">
        <w:rPr>
          <w:rFonts w:ascii="Sylfaen" w:hAnsi="Sylfaen" w:cs="Sylfaen"/>
          <w:noProof/>
        </w:rPr>
        <w:t xml:space="preserve">% - საშუალო, ხოლო დარჩენილი </w:t>
      </w:r>
      <w:r w:rsidRPr="008D6C05">
        <w:rPr>
          <w:rFonts w:ascii="Sylfaen" w:hAnsi="Sylfaen" w:cs="Sylfaen"/>
          <w:noProof/>
          <w:lang w:val="ka-GE"/>
        </w:rPr>
        <w:t>22,1</w:t>
      </w:r>
      <w:r w:rsidRPr="008D6C05">
        <w:rPr>
          <w:rFonts w:ascii="Sylfaen" w:hAnsi="Sylfaen" w:cs="Sylfaen"/>
          <w:noProof/>
        </w:rPr>
        <w:t xml:space="preserve">% - მცირე ბიზნესზე. </w:t>
      </w:r>
    </w:p>
    <w:p w:rsidR="00090E3A" w:rsidRPr="008D6C05" w:rsidRDefault="00090E3A" w:rsidP="00090E3A">
      <w:pPr>
        <w:spacing w:before="120" w:after="0" w:line="312" w:lineRule="auto"/>
        <w:ind w:left="-567"/>
        <w:jc w:val="both"/>
        <w:rPr>
          <w:rFonts w:ascii="Sylfaen" w:hAnsi="Sylfaen" w:cs="Sylfaen"/>
          <w:noProof/>
        </w:rPr>
      </w:pPr>
      <w:r w:rsidRPr="008D6C05">
        <w:rPr>
          <w:rFonts w:ascii="Sylfaen" w:hAnsi="Sylfaen" w:cs="Sylfaen"/>
          <w:noProof/>
        </w:rPr>
        <w:lastRenderedPageBreak/>
        <w:t xml:space="preserve">დაქირავებულთა მთლიანმა რაოდენობამ  </w:t>
      </w:r>
      <w:r w:rsidRPr="008D6C05">
        <w:rPr>
          <w:rFonts w:ascii="Sylfaen" w:hAnsi="Sylfaen" w:cs="Sylfaen"/>
          <w:noProof/>
          <w:lang w:val="ka-GE"/>
        </w:rPr>
        <w:t>584,9</w:t>
      </w:r>
      <w:r w:rsidRPr="008D6C05">
        <w:rPr>
          <w:rFonts w:ascii="Sylfaen" w:hAnsi="Sylfaen" w:cs="Sylfaen"/>
          <w:noProof/>
        </w:rPr>
        <w:t xml:space="preserve"> ათასი კაცი შეადგინა (გასული წლის შესა</w:t>
      </w:r>
      <w:r w:rsidRPr="008D6C05">
        <w:rPr>
          <w:rFonts w:ascii="Sylfaen" w:hAnsi="Sylfaen" w:cs="Sylfaen"/>
          <w:noProof/>
        </w:rPr>
        <w:softHyphen/>
        <w:t>ბა</w:t>
      </w:r>
      <w:r w:rsidRPr="008D6C05">
        <w:rPr>
          <w:rFonts w:ascii="Sylfaen" w:hAnsi="Sylfaen" w:cs="Sylfaen"/>
          <w:noProof/>
        </w:rPr>
        <w:softHyphen/>
        <w:t>მის პერი</w:t>
      </w:r>
      <w:r w:rsidRPr="008D6C05">
        <w:rPr>
          <w:rFonts w:ascii="Sylfaen" w:hAnsi="Sylfaen" w:cs="Sylfaen"/>
          <w:noProof/>
        </w:rPr>
        <w:softHyphen/>
        <w:t>ოდ</w:t>
      </w:r>
      <w:r w:rsidRPr="008D6C05">
        <w:rPr>
          <w:rFonts w:ascii="Sylfaen" w:hAnsi="Sylfaen" w:cs="Sylfaen"/>
          <w:noProof/>
        </w:rPr>
        <w:softHyphen/>
      </w:r>
      <w:r w:rsidRPr="008D6C05">
        <w:rPr>
          <w:rFonts w:ascii="Sylfaen" w:hAnsi="Sylfaen" w:cs="Sylfaen"/>
          <w:noProof/>
        </w:rPr>
        <w:softHyphen/>
      </w:r>
      <w:r w:rsidRPr="008D6C05">
        <w:rPr>
          <w:rFonts w:ascii="Sylfaen" w:hAnsi="Sylfaen" w:cs="Sylfaen"/>
          <w:noProof/>
          <w:lang w:val="ka-GE"/>
        </w:rPr>
        <w:softHyphen/>
      </w:r>
      <w:r w:rsidRPr="008D6C05">
        <w:rPr>
          <w:rFonts w:ascii="Sylfaen" w:hAnsi="Sylfaen" w:cs="Sylfaen"/>
          <w:noProof/>
        </w:rPr>
        <w:t xml:space="preserve">თან შედარებით - </w:t>
      </w:r>
      <w:r w:rsidRPr="008D6C05">
        <w:rPr>
          <w:rFonts w:ascii="Sylfaen" w:hAnsi="Sylfaen" w:cs="Sylfaen"/>
          <w:noProof/>
          <w:lang w:val="ka-GE"/>
        </w:rPr>
        <w:t>3,7</w:t>
      </w:r>
      <w:r w:rsidRPr="008D6C05">
        <w:rPr>
          <w:rFonts w:ascii="Sylfaen" w:hAnsi="Sylfaen" w:cs="Sylfaen"/>
          <w:noProof/>
        </w:rPr>
        <w:t>%-ით მეტი), საწარმოთა მთლიანმა დანა</w:t>
      </w:r>
      <w:r w:rsidRPr="008D6C05">
        <w:rPr>
          <w:rFonts w:ascii="Sylfaen" w:hAnsi="Sylfaen" w:cs="Sylfaen"/>
          <w:noProof/>
        </w:rPr>
        <w:softHyphen/>
        <w:t>ხარ</w:t>
      </w:r>
      <w:r w:rsidRPr="008D6C05">
        <w:rPr>
          <w:rFonts w:ascii="Sylfaen" w:hAnsi="Sylfaen" w:cs="Sylfaen"/>
          <w:noProof/>
        </w:rPr>
        <w:softHyphen/>
      </w:r>
      <w:r w:rsidRPr="008D6C05">
        <w:rPr>
          <w:rFonts w:ascii="Sylfaen" w:hAnsi="Sylfaen" w:cs="Sylfaen"/>
          <w:noProof/>
        </w:rPr>
        <w:softHyphen/>
        <w:t>ჯებმა პერ</w:t>
      </w:r>
      <w:r w:rsidRPr="008D6C05">
        <w:rPr>
          <w:rFonts w:ascii="Sylfaen" w:hAnsi="Sylfaen" w:cs="Sylfaen"/>
          <w:noProof/>
        </w:rPr>
        <w:softHyphen/>
        <w:t>სო</w:t>
      </w:r>
      <w:r w:rsidRPr="008D6C05">
        <w:rPr>
          <w:rFonts w:ascii="Sylfaen" w:hAnsi="Sylfaen" w:cs="Sylfaen"/>
          <w:noProof/>
        </w:rPr>
        <w:softHyphen/>
        <w:t>ნალ</w:t>
      </w:r>
      <w:r w:rsidRPr="008D6C05">
        <w:rPr>
          <w:rFonts w:ascii="Sylfaen" w:hAnsi="Sylfaen" w:cs="Sylfaen"/>
          <w:noProof/>
        </w:rPr>
        <w:softHyphen/>
        <w:t xml:space="preserve">ზე </w:t>
      </w:r>
      <w:r w:rsidRPr="008D6C05">
        <w:rPr>
          <w:rFonts w:ascii="Sylfaen" w:hAnsi="Sylfaen" w:cs="Sylfaen"/>
          <w:noProof/>
          <w:lang w:val="ka-GE"/>
        </w:rPr>
        <w:t>-</w:t>
      </w:r>
      <w:r w:rsidRPr="008D6C05">
        <w:rPr>
          <w:rFonts w:ascii="Sylfaen" w:hAnsi="Sylfaen" w:cs="Sylfaen"/>
          <w:noProof/>
        </w:rPr>
        <w:t xml:space="preserve"> </w:t>
      </w:r>
      <w:r w:rsidRPr="008D6C05">
        <w:rPr>
          <w:rFonts w:ascii="Sylfaen" w:hAnsi="Sylfaen" w:cs="Sylfaen"/>
          <w:noProof/>
          <w:lang w:val="ka-GE"/>
        </w:rPr>
        <w:t>1997.</w:t>
      </w:r>
      <w:r>
        <w:rPr>
          <w:rFonts w:ascii="Sylfaen" w:hAnsi="Sylfaen" w:cs="Sylfaen"/>
          <w:noProof/>
        </w:rPr>
        <w:t>6</w:t>
      </w:r>
      <w:r w:rsidRPr="008D6C05">
        <w:rPr>
          <w:rFonts w:ascii="Sylfaen" w:hAnsi="Sylfaen" w:cs="Sylfaen"/>
          <w:noProof/>
        </w:rPr>
        <w:t xml:space="preserve"> მლნ.</w:t>
      </w:r>
      <w:r w:rsidRPr="008D6C05">
        <w:rPr>
          <w:rFonts w:ascii="Sylfaen" w:hAnsi="Sylfaen" w:cs="Sylfaen"/>
          <w:noProof/>
          <w:lang w:val="ka-GE"/>
        </w:rPr>
        <w:t xml:space="preserve"> </w:t>
      </w:r>
      <w:r w:rsidRPr="008D6C05">
        <w:rPr>
          <w:rFonts w:ascii="Sylfaen" w:hAnsi="Sylfaen" w:cs="Sylfaen"/>
          <w:noProof/>
        </w:rPr>
        <w:t>ლარი (გასული წლის შესაბამის პერიოდ</w:t>
      </w:r>
      <w:r w:rsidRPr="008D6C05">
        <w:rPr>
          <w:rFonts w:ascii="Sylfaen" w:hAnsi="Sylfaen" w:cs="Sylfaen"/>
          <w:noProof/>
        </w:rPr>
        <w:softHyphen/>
        <w:t xml:space="preserve">თან შედარებით </w:t>
      </w:r>
      <w:r w:rsidRPr="008D6C05">
        <w:rPr>
          <w:rFonts w:ascii="Sylfaen" w:hAnsi="Sylfaen" w:cs="Sylfaen"/>
          <w:noProof/>
          <w:lang w:val="ka-GE"/>
        </w:rPr>
        <w:t>12,2</w:t>
      </w:r>
      <w:r w:rsidRPr="008D6C05">
        <w:rPr>
          <w:rFonts w:ascii="Sylfaen" w:hAnsi="Sylfaen" w:cs="Sylfaen"/>
          <w:noProof/>
        </w:rPr>
        <w:t xml:space="preserve"> %-ით მეტი ).</w:t>
      </w:r>
    </w:p>
    <w:p w:rsidR="00090E3A" w:rsidRPr="008D6C05" w:rsidRDefault="00090E3A" w:rsidP="00090E3A">
      <w:pPr>
        <w:spacing w:before="120" w:after="0" w:line="312" w:lineRule="auto"/>
        <w:ind w:left="-567"/>
        <w:jc w:val="both"/>
        <w:rPr>
          <w:rFonts w:ascii="Sylfaen" w:hAnsi="Sylfaen" w:cs="Sylfaen"/>
          <w:noProof/>
          <w:lang w:val="ka-GE"/>
        </w:rPr>
      </w:pPr>
      <w:r w:rsidRPr="008D6C05">
        <w:rPr>
          <w:rFonts w:ascii="Sylfaen" w:hAnsi="Sylfaen" w:cs="Sylfaen"/>
          <w:noProof/>
          <w:lang w:val="ka-GE"/>
        </w:rPr>
        <w:t xml:space="preserve">2016 წლის მეოთხე კვარტალში </w:t>
      </w:r>
      <w:r w:rsidRPr="008D6C05">
        <w:rPr>
          <w:rFonts w:ascii="Sylfaen" w:hAnsi="Sylfaen" w:cs="Sylfaen"/>
          <w:noProof/>
        </w:rPr>
        <w:t>საშუალო თვიურ</w:t>
      </w:r>
      <w:r w:rsidRPr="008D6C05">
        <w:rPr>
          <w:rFonts w:ascii="Sylfaen" w:hAnsi="Sylfaen" w:cs="Sylfaen"/>
          <w:noProof/>
          <w:lang w:val="ka-GE"/>
        </w:rPr>
        <w:t>ი</w:t>
      </w:r>
      <w:r w:rsidRPr="008D6C05">
        <w:rPr>
          <w:rFonts w:ascii="Sylfaen" w:hAnsi="Sylfaen" w:cs="Sylfaen"/>
          <w:noProof/>
        </w:rPr>
        <w:t xml:space="preserve"> ხელფას</w:t>
      </w:r>
      <w:r w:rsidRPr="008D6C05">
        <w:rPr>
          <w:rFonts w:ascii="Sylfaen" w:hAnsi="Sylfaen" w:cs="Sylfaen"/>
          <w:noProof/>
          <w:lang w:val="ka-GE"/>
        </w:rPr>
        <w:t>ი</w:t>
      </w:r>
      <w:r w:rsidRPr="008D6C05">
        <w:rPr>
          <w:rFonts w:ascii="Sylfaen" w:hAnsi="Sylfaen" w:cs="Sylfaen"/>
          <w:noProof/>
        </w:rPr>
        <w:t xml:space="preserve"> ბიზნეს სექტორში </w:t>
      </w:r>
      <w:r w:rsidRPr="008D6C05">
        <w:rPr>
          <w:rFonts w:ascii="Sylfaen" w:hAnsi="Sylfaen" w:cs="Sylfaen"/>
          <w:noProof/>
          <w:lang w:val="ka-GE"/>
        </w:rPr>
        <w:t>1130,</w:t>
      </w:r>
      <w:r>
        <w:rPr>
          <w:rFonts w:ascii="Sylfaen" w:hAnsi="Sylfaen" w:cs="Sylfaen"/>
          <w:noProof/>
        </w:rPr>
        <w:t>4</w:t>
      </w:r>
      <w:r w:rsidRPr="008D6C05">
        <w:rPr>
          <w:rFonts w:ascii="Sylfaen" w:hAnsi="Sylfaen" w:cs="Sylfaen"/>
          <w:noProof/>
          <w:lang w:val="ka-GE"/>
        </w:rPr>
        <w:t xml:space="preserve"> </w:t>
      </w:r>
      <w:r w:rsidRPr="008D6C05">
        <w:rPr>
          <w:rFonts w:ascii="Sylfaen" w:hAnsi="Sylfaen" w:cs="Sylfaen"/>
          <w:noProof/>
        </w:rPr>
        <w:t>ლარ</w:t>
      </w:r>
      <w:r w:rsidRPr="008D6C05">
        <w:rPr>
          <w:rFonts w:ascii="Sylfaen" w:hAnsi="Sylfaen" w:cs="Sylfaen"/>
          <w:noProof/>
          <w:lang w:val="ka-GE"/>
        </w:rPr>
        <w:t>ს გაუ</w:t>
      </w:r>
      <w:r w:rsidRPr="008D6C05">
        <w:rPr>
          <w:rFonts w:ascii="Sylfaen" w:hAnsi="Sylfaen" w:cs="Sylfaen"/>
          <w:noProof/>
        </w:rPr>
        <w:softHyphen/>
      </w:r>
      <w:r w:rsidRPr="008D6C05">
        <w:rPr>
          <w:rFonts w:ascii="Sylfaen" w:hAnsi="Sylfaen" w:cs="Sylfaen"/>
          <w:noProof/>
          <w:lang w:val="ka-GE"/>
        </w:rPr>
        <w:t>ტოლ</w:t>
      </w:r>
      <w:r w:rsidRPr="008D6C05">
        <w:rPr>
          <w:rFonts w:ascii="Sylfaen" w:hAnsi="Sylfaen" w:cs="Sylfaen"/>
          <w:noProof/>
        </w:rPr>
        <w:softHyphen/>
      </w:r>
      <w:r w:rsidRPr="008D6C05">
        <w:rPr>
          <w:rFonts w:ascii="Sylfaen" w:hAnsi="Sylfaen" w:cs="Sylfaen"/>
          <w:noProof/>
          <w:lang w:val="ka-GE"/>
        </w:rPr>
        <w:t>და (გასული წლის შესაბამისი პერიოდის მაჩვენებელთან შედარებით გაზრდილია 8</w:t>
      </w:r>
      <w:r>
        <w:rPr>
          <w:rFonts w:ascii="Sylfaen" w:hAnsi="Sylfaen" w:cs="Sylfaen"/>
          <w:noProof/>
        </w:rPr>
        <w:t>5</w:t>
      </w:r>
      <w:r w:rsidRPr="008D6C05">
        <w:rPr>
          <w:rFonts w:ascii="Sylfaen" w:hAnsi="Sylfaen" w:cs="Sylfaen"/>
          <w:noProof/>
          <w:lang w:val="ka-GE"/>
        </w:rPr>
        <w:t>,</w:t>
      </w:r>
      <w:r>
        <w:rPr>
          <w:rFonts w:ascii="Sylfaen" w:hAnsi="Sylfaen" w:cs="Sylfaen"/>
          <w:noProof/>
        </w:rPr>
        <w:t>8</w:t>
      </w:r>
      <w:r w:rsidRPr="008D6C05">
        <w:rPr>
          <w:rFonts w:ascii="Sylfaen" w:hAnsi="Sylfaen" w:cs="Sylfaen"/>
          <w:noProof/>
          <w:lang w:val="ka-GE"/>
        </w:rPr>
        <w:t xml:space="preserve"> ლარით)</w:t>
      </w:r>
      <w:r w:rsidRPr="008D6C05">
        <w:rPr>
          <w:rFonts w:ascii="Sylfaen" w:hAnsi="Sylfaen" w:cs="Sylfaen"/>
          <w:noProof/>
        </w:rPr>
        <w:t>, მათ შორის ქა</w:t>
      </w:r>
      <w:r w:rsidRPr="008D6C05">
        <w:rPr>
          <w:rFonts w:ascii="Sylfaen" w:hAnsi="Sylfaen" w:cs="Sylfaen"/>
          <w:noProof/>
          <w:lang w:val="ka-GE"/>
        </w:rPr>
        <w:softHyphen/>
      </w:r>
      <w:r w:rsidRPr="008D6C05">
        <w:rPr>
          <w:rFonts w:ascii="Sylfaen" w:hAnsi="Sylfaen" w:cs="Sylfaen"/>
          <w:noProof/>
        </w:rPr>
        <w:t xml:space="preserve">ლების </w:t>
      </w:r>
      <w:r w:rsidRPr="008D6C05">
        <w:rPr>
          <w:rFonts w:ascii="Sylfaen" w:hAnsi="Sylfaen" w:cs="Sylfaen"/>
          <w:noProof/>
          <w:lang w:val="ka-GE"/>
        </w:rPr>
        <w:t xml:space="preserve">ხელფასმა შეადგინა </w:t>
      </w:r>
      <w:r w:rsidRPr="008D6C05">
        <w:rPr>
          <w:rFonts w:ascii="Sylfaen" w:hAnsi="Sylfaen" w:cs="Sylfaen"/>
          <w:noProof/>
        </w:rPr>
        <w:t xml:space="preserve">- </w:t>
      </w:r>
      <w:r>
        <w:rPr>
          <w:rFonts w:ascii="Sylfaen" w:hAnsi="Sylfaen" w:cs="Sylfaen"/>
          <w:noProof/>
        </w:rPr>
        <w:t xml:space="preserve">819.0 </w:t>
      </w:r>
      <w:r w:rsidRPr="008D6C05">
        <w:rPr>
          <w:rFonts w:ascii="Sylfaen" w:hAnsi="Sylfaen" w:cs="Sylfaen"/>
          <w:noProof/>
        </w:rPr>
        <w:t>ლარ</w:t>
      </w:r>
      <w:r w:rsidRPr="008D6C05">
        <w:rPr>
          <w:rFonts w:ascii="Sylfaen" w:hAnsi="Sylfaen" w:cs="Sylfaen"/>
          <w:noProof/>
          <w:lang w:val="ka-GE"/>
        </w:rPr>
        <w:t>ი (გასული წლის შესაბამისი პერიოდის მაჩვენებელთან შედა</w:t>
      </w:r>
      <w:r w:rsidRPr="008D6C05">
        <w:rPr>
          <w:rFonts w:ascii="Sylfaen" w:hAnsi="Sylfaen" w:cs="Sylfaen"/>
          <w:noProof/>
          <w:lang w:val="ka-GE"/>
        </w:rPr>
        <w:softHyphen/>
        <w:t>რე</w:t>
      </w:r>
      <w:r w:rsidRPr="008D6C05">
        <w:rPr>
          <w:rFonts w:ascii="Sylfaen" w:hAnsi="Sylfaen" w:cs="Sylfaen"/>
          <w:noProof/>
          <w:lang w:val="ka-GE"/>
        </w:rPr>
        <w:softHyphen/>
        <w:t>ბით 66,</w:t>
      </w:r>
      <w:r>
        <w:rPr>
          <w:rFonts w:ascii="Sylfaen" w:hAnsi="Sylfaen" w:cs="Sylfaen"/>
          <w:noProof/>
        </w:rPr>
        <w:t>1</w:t>
      </w:r>
      <w:r w:rsidRPr="008D6C05">
        <w:rPr>
          <w:rFonts w:ascii="Sylfaen" w:hAnsi="Sylfaen" w:cs="Sylfaen"/>
          <w:noProof/>
          <w:lang w:val="ka-GE"/>
        </w:rPr>
        <w:t xml:space="preserve"> ლარით)</w:t>
      </w:r>
      <w:r w:rsidRPr="008D6C05">
        <w:rPr>
          <w:rFonts w:ascii="Sylfaen" w:hAnsi="Sylfaen" w:cs="Sylfaen"/>
          <w:noProof/>
        </w:rPr>
        <w:t>. საწარმოთა ზომის მიხედვით</w:t>
      </w:r>
      <w:r w:rsidRPr="008D6C05">
        <w:rPr>
          <w:rFonts w:ascii="Sylfaen" w:hAnsi="Sylfaen" w:cs="Sylfaen"/>
          <w:b/>
          <w:noProof/>
        </w:rPr>
        <w:t xml:space="preserve"> </w:t>
      </w:r>
      <w:r w:rsidRPr="008D6C05">
        <w:rPr>
          <w:rFonts w:ascii="Sylfaen" w:hAnsi="Sylfaen" w:cs="Sylfaen"/>
          <w:noProof/>
        </w:rPr>
        <w:t>საშუალო თვიური ხელფასი შემდეგნაირ</w:t>
      </w:r>
      <w:r w:rsidRPr="008D6C05">
        <w:rPr>
          <w:rFonts w:ascii="Sylfaen" w:hAnsi="Sylfaen" w:cs="Sylfaen"/>
          <w:noProof/>
          <w:lang w:val="ka-GE"/>
        </w:rPr>
        <w:t>ია:</w:t>
      </w:r>
    </w:p>
    <w:p w:rsidR="00090E3A" w:rsidRPr="00CD29BD" w:rsidRDefault="00090E3A" w:rsidP="00090E3A">
      <w:pPr>
        <w:pStyle w:val="ListParagraph"/>
        <w:numPr>
          <w:ilvl w:val="0"/>
          <w:numId w:val="7"/>
        </w:numPr>
        <w:tabs>
          <w:tab w:val="left" w:pos="0"/>
        </w:tabs>
        <w:spacing w:after="0" w:line="312" w:lineRule="auto"/>
        <w:ind w:left="-284" w:firstLine="0"/>
        <w:jc w:val="both"/>
        <w:rPr>
          <w:rFonts w:ascii="Sylfaen" w:hAnsi="Sylfaen" w:cs="Sylfaen"/>
          <w:noProof/>
        </w:rPr>
      </w:pPr>
      <w:r w:rsidRPr="00CD29BD">
        <w:rPr>
          <w:rFonts w:ascii="Sylfaen" w:hAnsi="Sylfaen" w:cs="Sylfaen"/>
          <w:noProof/>
        </w:rPr>
        <w:t xml:space="preserve">მსხვილი </w:t>
      </w:r>
      <w:r w:rsidRPr="00CD29BD">
        <w:rPr>
          <w:rFonts w:ascii="Sylfaen" w:hAnsi="Sylfaen" w:cs="Sylfaen"/>
          <w:noProof/>
          <w:lang w:val="ka-GE"/>
        </w:rPr>
        <w:t>ბიზნესი</w:t>
      </w:r>
      <w:r w:rsidRPr="00CD29BD">
        <w:rPr>
          <w:rFonts w:ascii="Sylfaen" w:hAnsi="Sylfaen" w:cs="Sylfaen"/>
          <w:noProof/>
        </w:rPr>
        <w:t xml:space="preserve"> – </w:t>
      </w:r>
      <w:r w:rsidRPr="00CD29BD">
        <w:rPr>
          <w:rFonts w:ascii="Sylfaen" w:hAnsi="Sylfaen" w:cs="Sylfaen"/>
          <w:noProof/>
          <w:lang w:val="ka-GE"/>
        </w:rPr>
        <w:t>1268,5</w:t>
      </w:r>
      <w:r w:rsidRPr="00CD29BD">
        <w:rPr>
          <w:rFonts w:ascii="Sylfaen" w:hAnsi="Sylfaen" w:cs="Sylfaen"/>
          <w:noProof/>
        </w:rPr>
        <w:t xml:space="preserve"> ლარი,</w:t>
      </w:r>
    </w:p>
    <w:p w:rsidR="00090E3A" w:rsidRPr="00CD29BD" w:rsidRDefault="00090E3A" w:rsidP="00090E3A">
      <w:pPr>
        <w:pStyle w:val="ListParagraph"/>
        <w:numPr>
          <w:ilvl w:val="0"/>
          <w:numId w:val="7"/>
        </w:numPr>
        <w:tabs>
          <w:tab w:val="left" w:pos="0"/>
        </w:tabs>
        <w:spacing w:after="0" w:line="312" w:lineRule="auto"/>
        <w:ind w:left="-284" w:firstLine="0"/>
        <w:jc w:val="both"/>
        <w:rPr>
          <w:rFonts w:ascii="Sylfaen" w:hAnsi="Sylfaen" w:cs="Sylfaen"/>
          <w:noProof/>
        </w:rPr>
      </w:pPr>
      <w:r w:rsidRPr="00CD29BD">
        <w:rPr>
          <w:rFonts w:ascii="Sylfaen" w:hAnsi="Sylfaen" w:cs="Sylfaen"/>
          <w:noProof/>
        </w:rPr>
        <w:t xml:space="preserve">საშუალო </w:t>
      </w:r>
      <w:r w:rsidRPr="00CD29BD">
        <w:rPr>
          <w:rFonts w:ascii="Sylfaen" w:hAnsi="Sylfaen" w:cs="Sylfaen"/>
          <w:noProof/>
          <w:lang w:val="ka-GE"/>
        </w:rPr>
        <w:t>ბიზნესი</w:t>
      </w:r>
      <w:r w:rsidRPr="00CD29BD">
        <w:rPr>
          <w:rFonts w:ascii="Sylfaen" w:hAnsi="Sylfaen" w:cs="Sylfaen"/>
          <w:noProof/>
        </w:rPr>
        <w:t xml:space="preserve"> – </w:t>
      </w:r>
      <w:r w:rsidRPr="00CD29BD">
        <w:rPr>
          <w:rFonts w:ascii="Sylfaen" w:hAnsi="Sylfaen" w:cs="Sylfaen"/>
          <w:noProof/>
          <w:lang w:val="ka-GE"/>
        </w:rPr>
        <w:t>111</w:t>
      </w:r>
      <w:r w:rsidRPr="00CD29BD">
        <w:rPr>
          <w:rFonts w:ascii="Sylfaen" w:hAnsi="Sylfaen" w:cs="Sylfaen"/>
          <w:noProof/>
        </w:rPr>
        <w:t>0.0 ლარი,</w:t>
      </w:r>
    </w:p>
    <w:p w:rsidR="00090E3A" w:rsidRPr="00CD29BD" w:rsidRDefault="00090E3A" w:rsidP="00090E3A">
      <w:pPr>
        <w:pStyle w:val="ListParagraph"/>
        <w:numPr>
          <w:ilvl w:val="0"/>
          <w:numId w:val="7"/>
        </w:numPr>
        <w:tabs>
          <w:tab w:val="left" w:pos="0"/>
        </w:tabs>
        <w:spacing w:after="0" w:line="312" w:lineRule="auto"/>
        <w:ind w:left="-284" w:firstLine="0"/>
        <w:jc w:val="both"/>
        <w:rPr>
          <w:rFonts w:ascii="Sylfaen" w:hAnsi="Sylfaen" w:cs="Sylfaen"/>
          <w:noProof/>
        </w:rPr>
      </w:pPr>
      <w:r w:rsidRPr="00CD29BD">
        <w:rPr>
          <w:rFonts w:ascii="Sylfaen" w:hAnsi="Sylfaen" w:cs="Sylfaen"/>
          <w:noProof/>
        </w:rPr>
        <w:t xml:space="preserve">მცირე </w:t>
      </w:r>
      <w:r w:rsidRPr="00CD29BD">
        <w:rPr>
          <w:rFonts w:ascii="Sylfaen" w:hAnsi="Sylfaen" w:cs="Sylfaen"/>
          <w:noProof/>
          <w:lang w:val="ka-GE"/>
        </w:rPr>
        <w:t>ბიზნესი</w:t>
      </w:r>
      <w:r w:rsidRPr="00CD29BD">
        <w:rPr>
          <w:rFonts w:ascii="Sylfaen" w:hAnsi="Sylfaen" w:cs="Sylfaen"/>
          <w:noProof/>
        </w:rPr>
        <w:t xml:space="preserve"> – </w:t>
      </w:r>
      <w:r w:rsidRPr="00CD29BD">
        <w:rPr>
          <w:rFonts w:ascii="Sylfaen" w:hAnsi="Sylfaen" w:cs="Sylfaen"/>
          <w:noProof/>
          <w:lang w:val="ka-GE"/>
        </w:rPr>
        <w:t>646,</w:t>
      </w:r>
      <w:r w:rsidRPr="00CD29BD">
        <w:rPr>
          <w:rFonts w:ascii="Sylfaen" w:hAnsi="Sylfaen" w:cs="Sylfaen"/>
          <w:noProof/>
        </w:rPr>
        <w:t>6 ლარი.</w:t>
      </w:r>
    </w:p>
    <w:p w:rsidR="00090E3A" w:rsidRPr="00A86FDE" w:rsidRDefault="00090E3A" w:rsidP="00090E3A">
      <w:pPr>
        <w:spacing w:before="120" w:after="0" w:line="312" w:lineRule="auto"/>
        <w:ind w:left="-567"/>
        <w:jc w:val="both"/>
        <w:rPr>
          <w:rFonts w:ascii="Sylfaen" w:hAnsi="Sylfaen"/>
        </w:rPr>
      </w:pPr>
      <w:r w:rsidRPr="008D6C05">
        <w:rPr>
          <w:rFonts w:ascii="Sylfaen" w:hAnsi="Sylfaen"/>
          <w:lang w:val="ka-GE"/>
        </w:rPr>
        <w:t>2016 წლის მეოთხე კვარტალში ბიზნეს სექტორის ბრუნვის სტრუქტურაში 47,</w:t>
      </w:r>
      <w:r>
        <w:rPr>
          <w:rFonts w:ascii="Sylfaen" w:hAnsi="Sylfaen"/>
          <w:lang w:val="ka-GE"/>
        </w:rPr>
        <w:t>5</w:t>
      </w:r>
      <w:r w:rsidRPr="008D6C05">
        <w:rPr>
          <w:rFonts w:ascii="Sylfaen" w:hAnsi="Sylfaen"/>
          <w:lang w:val="ka-GE"/>
        </w:rPr>
        <w:t>% მოდის ვაჭრობის დარგ</w:t>
      </w:r>
      <w:r w:rsidRPr="008D6C05">
        <w:rPr>
          <w:rFonts w:ascii="Sylfaen" w:hAnsi="Sylfaen"/>
          <w:lang w:val="ka-GE"/>
        </w:rPr>
        <w:softHyphen/>
        <w:t>ზე (ავტომობილების, საყოფაცხოვრებო ნაწარმისა და პირადი მოხმარების საგნების რემონტის ჩა</w:t>
      </w:r>
      <w:r w:rsidRPr="008D6C05">
        <w:rPr>
          <w:rFonts w:ascii="Sylfaen" w:hAnsi="Sylfaen"/>
          <w:lang w:val="ka-GE"/>
        </w:rPr>
        <w:softHyphen/>
        <w:t>თვლით). მეორე ადგილს იკავებს დამამუშავებელი მრეწველობა - 11,0%-იანი წილით. შემდეგ მოდის მშენებლობა - 9,8%-იანი წილით და ტრანს</w:t>
      </w:r>
      <w:r w:rsidRPr="008D6C05">
        <w:rPr>
          <w:rFonts w:ascii="Sylfaen" w:hAnsi="Sylfaen"/>
          <w:lang w:val="ka-GE"/>
        </w:rPr>
        <w:softHyphen/>
      </w:r>
      <w:r w:rsidRPr="008D6C05">
        <w:rPr>
          <w:rFonts w:ascii="Sylfaen" w:hAnsi="Sylfaen"/>
        </w:rPr>
        <w:softHyphen/>
      </w:r>
      <w:r w:rsidRPr="008D6C05">
        <w:rPr>
          <w:rFonts w:ascii="Sylfaen" w:hAnsi="Sylfaen"/>
          <w:lang w:val="ka-GE"/>
        </w:rPr>
        <w:softHyphen/>
        <w:t>პორ</w:t>
      </w:r>
      <w:r w:rsidRPr="008D6C05">
        <w:rPr>
          <w:rFonts w:ascii="Sylfaen" w:hAnsi="Sylfaen"/>
          <w:lang w:val="ka-GE"/>
        </w:rPr>
        <w:softHyphen/>
        <w:t>ტი და კავშირგაბმულობა - 8,7%-იანი წი</w:t>
      </w:r>
      <w:r w:rsidRPr="008D6C05">
        <w:rPr>
          <w:rFonts w:ascii="Sylfaen" w:hAnsi="Sylfaen"/>
          <w:lang w:val="ka-GE"/>
        </w:rPr>
        <w:softHyphen/>
        <w:t>ლით, ხოლო დარ</w:t>
      </w:r>
      <w:r w:rsidRPr="008D6C05">
        <w:rPr>
          <w:rFonts w:ascii="Sylfaen" w:hAnsi="Sylfaen"/>
          <w:lang w:val="ka-GE"/>
        </w:rPr>
        <w:softHyphen/>
        <w:t>ჩე</w:t>
      </w:r>
      <w:r w:rsidRPr="008D6C05">
        <w:rPr>
          <w:rFonts w:ascii="Sylfaen" w:hAnsi="Sylfaen"/>
          <w:lang w:val="ka-GE"/>
        </w:rPr>
        <w:softHyphen/>
      </w:r>
      <w:r w:rsidRPr="008D6C05">
        <w:rPr>
          <w:rFonts w:ascii="Sylfaen" w:hAnsi="Sylfaen"/>
          <w:lang w:val="ka-GE"/>
        </w:rPr>
        <w:softHyphen/>
        <w:t>ნი</w:t>
      </w:r>
      <w:r w:rsidRPr="008D6C05">
        <w:rPr>
          <w:rFonts w:ascii="Sylfaen" w:hAnsi="Sylfaen"/>
          <w:lang w:val="ka-GE"/>
        </w:rPr>
        <w:softHyphen/>
      </w:r>
      <w:r w:rsidRPr="008D6C05">
        <w:rPr>
          <w:rFonts w:ascii="Sylfaen" w:hAnsi="Sylfaen"/>
          <w:lang w:val="ka-GE"/>
        </w:rPr>
        <w:softHyphen/>
      </w:r>
      <w:r w:rsidRPr="008D6C05">
        <w:rPr>
          <w:rFonts w:ascii="Sylfaen" w:hAnsi="Sylfaen"/>
          <w:lang w:val="ka-GE"/>
        </w:rPr>
        <w:softHyphen/>
        <w:t>ლი 2</w:t>
      </w:r>
      <w:r>
        <w:rPr>
          <w:rFonts w:ascii="Sylfaen" w:hAnsi="Sylfaen"/>
          <w:lang w:val="ka-GE"/>
        </w:rPr>
        <w:t>3</w:t>
      </w:r>
      <w:r w:rsidRPr="008D6C05">
        <w:rPr>
          <w:rFonts w:ascii="Sylfaen" w:hAnsi="Sylfaen"/>
          <w:lang w:val="ka-GE"/>
        </w:rPr>
        <w:t>,</w:t>
      </w:r>
      <w:r>
        <w:rPr>
          <w:rFonts w:ascii="Sylfaen" w:hAnsi="Sylfaen"/>
          <w:lang w:val="ka-GE"/>
        </w:rPr>
        <w:t>0</w:t>
      </w:r>
      <w:r w:rsidRPr="008D6C05">
        <w:rPr>
          <w:rFonts w:ascii="Sylfaen" w:hAnsi="Sylfaen"/>
          <w:lang w:val="ka-GE"/>
        </w:rPr>
        <w:t>% - სხვა დარგებზე ნაწილდება</w:t>
      </w:r>
      <w:r>
        <w:rPr>
          <w:rFonts w:ascii="Sylfaen" w:hAnsi="Sylfaen"/>
        </w:rPr>
        <w:t>.</w:t>
      </w:r>
    </w:p>
    <w:p w:rsidR="00090E3A" w:rsidRPr="00CD29BD" w:rsidRDefault="00090E3A" w:rsidP="00090E3A">
      <w:pPr>
        <w:spacing w:before="120" w:after="0" w:line="312" w:lineRule="auto"/>
        <w:ind w:left="-567"/>
        <w:jc w:val="both"/>
        <w:rPr>
          <w:rFonts w:ascii="Sylfaen" w:hAnsi="Sylfaen"/>
        </w:rPr>
      </w:pPr>
      <w:r w:rsidRPr="00CD29BD">
        <w:rPr>
          <w:rFonts w:ascii="Sylfaen" w:hAnsi="Sylfaen"/>
          <w:lang w:val="ka-GE"/>
        </w:rPr>
        <w:t>2016 წლის მეოთხე კვარტალში ბიზნეს სექტორის პროდუქციის გამოშ</w:t>
      </w:r>
      <w:r w:rsidRPr="00CD29BD">
        <w:rPr>
          <w:rFonts w:ascii="Sylfaen" w:hAnsi="Sylfaen"/>
          <w:lang w:val="ka-GE"/>
        </w:rPr>
        <w:softHyphen/>
        <w:t>ვებაში უდიდესი წილი (</w:t>
      </w:r>
      <w:r w:rsidRPr="00CD29BD">
        <w:rPr>
          <w:rFonts w:ascii="Sylfaen" w:hAnsi="Sylfaen"/>
        </w:rPr>
        <w:t>21</w:t>
      </w:r>
      <w:r w:rsidRPr="00CD29BD">
        <w:rPr>
          <w:rFonts w:ascii="Sylfaen" w:hAnsi="Sylfaen"/>
          <w:lang w:val="ka-GE"/>
        </w:rPr>
        <w:t>,3%) დამამუშავებელი მრეწველობის დარგს ეკავა. მეორე და მესამე ადგილებს იკავებდა მშენებლობა (19,8%)  და ვაჭრობა (17,1%).  შემ</w:t>
      </w:r>
      <w:r w:rsidRPr="00CD29BD">
        <w:rPr>
          <w:rFonts w:ascii="Sylfaen" w:hAnsi="Sylfaen"/>
          <w:lang w:val="ka-GE"/>
        </w:rPr>
        <w:softHyphen/>
        <w:t>დეგ მოდის ტრანსპორტი და კავშირგაბმულობა - 12,6%-იანი წილით, ოპე</w:t>
      </w:r>
      <w:r w:rsidRPr="00CD29BD">
        <w:rPr>
          <w:rFonts w:ascii="Sylfaen" w:hAnsi="Sylfaen"/>
          <w:lang w:val="ka-GE"/>
        </w:rPr>
        <w:softHyphen/>
        <w:t>რა</w:t>
      </w:r>
      <w:r w:rsidRPr="00CD29BD">
        <w:rPr>
          <w:rFonts w:ascii="Sylfaen" w:hAnsi="Sylfaen"/>
          <w:lang w:val="ka-GE"/>
        </w:rPr>
        <w:softHyphen/>
        <w:t>ცი</w:t>
      </w:r>
      <w:r w:rsidRPr="00CD29BD">
        <w:rPr>
          <w:rFonts w:ascii="Sylfaen" w:hAnsi="Sylfaen"/>
          <w:lang w:val="ka-GE"/>
        </w:rPr>
        <w:softHyphen/>
        <w:t>ე</w:t>
      </w:r>
      <w:r w:rsidRPr="00CD29BD">
        <w:rPr>
          <w:rFonts w:ascii="Sylfaen" w:hAnsi="Sylfaen"/>
          <w:lang w:val="ka-GE"/>
        </w:rPr>
        <w:softHyphen/>
        <w:t>ბი უძ</w:t>
      </w:r>
      <w:r w:rsidRPr="00CD29BD">
        <w:rPr>
          <w:rFonts w:ascii="Sylfaen" w:hAnsi="Sylfaen"/>
          <w:lang w:val="ka-GE"/>
        </w:rPr>
        <w:softHyphen/>
        <w:t>რა</w:t>
      </w:r>
      <w:r w:rsidRPr="00CD29BD">
        <w:rPr>
          <w:rFonts w:ascii="Sylfaen" w:hAnsi="Sylfaen"/>
          <w:lang w:val="ka-GE"/>
        </w:rPr>
        <w:softHyphen/>
        <w:t>ვი ქონებით, იჯარა და მომხმარებლისათვის მომსახურების გაწევა - 9,5%-იანი წილით, ხოლო და</w:t>
      </w:r>
      <w:r w:rsidRPr="00CD29BD">
        <w:rPr>
          <w:rFonts w:ascii="Sylfaen" w:hAnsi="Sylfaen"/>
          <w:lang w:val="ka-GE"/>
        </w:rPr>
        <w:softHyphen/>
        <w:t>ნარ</w:t>
      </w:r>
      <w:r w:rsidRPr="00CD29BD">
        <w:rPr>
          <w:rFonts w:ascii="Sylfaen" w:hAnsi="Sylfaen"/>
          <w:lang w:val="ka-GE"/>
        </w:rPr>
        <w:softHyphen/>
      </w:r>
      <w:r w:rsidRPr="00CD29BD">
        <w:rPr>
          <w:rFonts w:ascii="Sylfaen" w:hAnsi="Sylfaen"/>
          <w:lang w:val="ka-GE"/>
        </w:rPr>
        <w:softHyphen/>
      </w:r>
      <w:r w:rsidRPr="00CD29BD">
        <w:rPr>
          <w:rFonts w:ascii="Sylfaen" w:hAnsi="Sylfaen"/>
          <w:lang w:val="ka-GE"/>
        </w:rPr>
        <w:softHyphen/>
        <w:t>ჩენ დარგებს სტრუქტურაში 19,7 პროცენტიანი წი</w:t>
      </w:r>
      <w:r w:rsidRPr="00CD29BD">
        <w:rPr>
          <w:rFonts w:ascii="Sylfaen" w:hAnsi="Sylfaen"/>
        </w:rPr>
        <w:softHyphen/>
      </w:r>
      <w:r w:rsidRPr="00CD29BD">
        <w:rPr>
          <w:rFonts w:ascii="Sylfaen" w:hAnsi="Sylfaen"/>
          <w:lang w:val="ka-GE"/>
        </w:rPr>
        <w:t>ლი უჭირავს</w:t>
      </w:r>
      <w:r>
        <w:rPr>
          <w:rFonts w:ascii="Sylfaen" w:hAnsi="Sylfaen"/>
        </w:rPr>
        <w:t>.</w:t>
      </w:r>
    </w:p>
    <w:p w:rsidR="00090E3A" w:rsidRPr="00CD29BD" w:rsidRDefault="00090E3A" w:rsidP="00090E3A">
      <w:pPr>
        <w:spacing w:before="120" w:after="0" w:line="312" w:lineRule="auto"/>
        <w:ind w:left="-567"/>
        <w:jc w:val="both"/>
        <w:rPr>
          <w:rFonts w:ascii="Sylfaen" w:hAnsi="Sylfaen"/>
          <w:lang w:val="ka-GE"/>
        </w:rPr>
      </w:pPr>
      <w:r w:rsidRPr="00CD29BD">
        <w:rPr>
          <w:rFonts w:ascii="Sylfaen" w:hAnsi="Sylfaen"/>
          <w:lang w:val="ka-GE"/>
        </w:rPr>
        <w:t>2016 წლის მეოთხე კვარტალში დასაქმებულთა რაოდენობის მიხედვით ბიზნეს სექ</w:t>
      </w:r>
      <w:r w:rsidRPr="00CD29BD">
        <w:rPr>
          <w:rFonts w:ascii="Sylfaen" w:hAnsi="Sylfaen"/>
          <w:lang w:val="ka-GE"/>
        </w:rPr>
        <w:softHyphen/>
        <w:t>ტორში ვაჭ</w:t>
      </w:r>
      <w:r w:rsidRPr="00CD29BD">
        <w:rPr>
          <w:rFonts w:ascii="Sylfaen" w:hAnsi="Sylfaen"/>
          <w:lang w:val="ka-GE"/>
        </w:rPr>
        <w:softHyphen/>
        <w:t>რობის (ავტომობილების, საყოფაცხოვრებო ნაწარმისა და პირადი მოხ</w:t>
      </w:r>
      <w:r w:rsidRPr="00CD29BD">
        <w:rPr>
          <w:rFonts w:ascii="Sylfaen" w:hAnsi="Sylfaen"/>
          <w:lang w:val="ka-GE"/>
        </w:rPr>
        <w:softHyphen/>
        <w:t>მა</w:t>
      </w:r>
      <w:r w:rsidRPr="00CD29BD">
        <w:rPr>
          <w:rFonts w:ascii="Sylfaen" w:hAnsi="Sylfaen"/>
          <w:lang w:val="ka-GE"/>
        </w:rPr>
        <w:softHyphen/>
        <w:t>რების საგ</w:t>
      </w:r>
      <w:r w:rsidRPr="00CD29BD">
        <w:rPr>
          <w:rFonts w:ascii="Sylfaen" w:hAnsi="Sylfaen"/>
          <w:lang w:val="ka-GE"/>
        </w:rPr>
        <w:softHyphen/>
        <w:t>ნე</w:t>
      </w:r>
      <w:r w:rsidRPr="00CD29BD">
        <w:rPr>
          <w:rFonts w:ascii="Sylfaen" w:hAnsi="Sylfaen"/>
          <w:lang w:val="ka-GE"/>
        </w:rPr>
        <w:softHyphen/>
        <w:t>ბის რემონტის ჩათვლით), და</w:t>
      </w:r>
      <w:r w:rsidRPr="00CD29BD">
        <w:rPr>
          <w:rFonts w:ascii="Sylfaen" w:hAnsi="Sylfaen"/>
        </w:rPr>
        <w:softHyphen/>
      </w:r>
      <w:r w:rsidRPr="00CD29BD">
        <w:rPr>
          <w:rFonts w:ascii="Sylfaen" w:hAnsi="Sylfaen"/>
          <w:lang w:val="ka-GE"/>
        </w:rPr>
        <w:t>მა</w:t>
      </w:r>
      <w:r w:rsidRPr="00CD29BD">
        <w:rPr>
          <w:rFonts w:ascii="Sylfaen" w:hAnsi="Sylfaen"/>
        </w:rPr>
        <w:softHyphen/>
      </w:r>
      <w:r w:rsidRPr="00CD29BD">
        <w:rPr>
          <w:rFonts w:ascii="Sylfaen" w:hAnsi="Sylfaen"/>
          <w:lang w:val="ka-GE"/>
        </w:rPr>
        <w:t>მუ</w:t>
      </w:r>
      <w:r w:rsidRPr="00CD29BD">
        <w:rPr>
          <w:rFonts w:ascii="Sylfaen" w:hAnsi="Sylfaen"/>
        </w:rPr>
        <w:softHyphen/>
      </w:r>
      <w:r w:rsidRPr="00CD29BD">
        <w:rPr>
          <w:rFonts w:ascii="Sylfaen" w:hAnsi="Sylfaen"/>
          <w:lang w:val="ka-GE"/>
        </w:rPr>
        <w:t xml:space="preserve">შავებელი მრეწველობის, მშენებლობის დარგები ლიდერობენ (შესაბამისად </w:t>
      </w:r>
      <w:r w:rsidRPr="00CD29BD">
        <w:rPr>
          <w:rFonts w:ascii="Sylfaen" w:hAnsi="Sylfaen"/>
        </w:rPr>
        <w:t>25,</w:t>
      </w:r>
      <w:r w:rsidRPr="00CD29BD">
        <w:rPr>
          <w:rFonts w:ascii="Sylfaen" w:hAnsi="Sylfaen"/>
          <w:lang w:val="ka-GE"/>
        </w:rPr>
        <w:t>5%, 13,8% და 10,4%-ია</w:t>
      </w:r>
      <w:r w:rsidRPr="00CD29BD">
        <w:rPr>
          <w:rFonts w:ascii="Sylfaen" w:hAnsi="Sylfaen"/>
          <w:lang w:val="ka-GE"/>
        </w:rPr>
        <w:softHyphen/>
        <w:t>ნი წილებით). თუმცა სტრუქ</w:t>
      </w:r>
      <w:r w:rsidRPr="00CD29BD">
        <w:rPr>
          <w:rFonts w:ascii="Sylfaen" w:hAnsi="Sylfaen"/>
          <w:lang w:val="ka-GE"/>
        </w:rPr>
        <w:softHyphen/>
        <w:t>ტუ</w:t>
      </w:r>
      <w:r w:rsidRPr="00CD29BD">
        <w:rPr>
          <w:rFonts w:ascii="Sylfaen" w:hAnsi="Sylfaen"/>
          <w:lang w:val="ka-GE"/>
        </w:rPr>
        <w:softHyphen/>
        <w:t>რაში მნიშვნელოვანი წილი მოდის</w:t>
      </w:r>
      <w:r w:rsidRPr="00CD29BD">
        <w:rPr>
          <w:rFonts w:ascii="Sylfaen" w:hAnsi="Sylfaen"/>
        </w:rPr>
        <w:t xml:space="preserve"> </w:t>
      </w:r>
      <w:r w:rsidRPr="00CD29BD">
        <w:rPr>
          <w:rFonts w:ascii="Sylfaen" w:hAnsi="Sylfaen"/>
          <w:lang w:val="ka-GE"/>
        </w:rPr>
        <w:t>ჯანდაცვისა და სო</w:t>
      </w:r>
      <w:r w:rsidRPr="00CD29BD">
        <w:rPr>
          <w:rFonts w:ascii="Sylfaen" w:hAnsi="Sylfaen"/>
          <w:lang w:val="ka-GE"/>
        </w:rPr>
        <w:softHyphen/>
      </w:r>
      <w:r w:rsidRPr="00CD29BD">
        <w:rPr>
          <w:rFonts w:ascii="Sylfaen" w:hAnsi="Sylfaen"/>
        </w:rPr>
        <w:softHyphen/>
      </w:r>
      <w:r w:rsidRPr="00CD29BD">
        <w:rPr>
          <w:rFonts w:ascii="Sylfaen" w:hAnsi="Sylfaen"/>
          <w:lang w:val="ka-GE"/>
        </w:rPr>
        <w:t>ციალური დახ</w:t>
      </w:r>
      <w:r w:rsidRPr="00CD29BD">
        <w:rPr>
          <w:rFonts w:ascii="Sylfaen" w:hAnsi="Sylfaen"/>
          <w:lang w:val="ka-GE"/>
        </w:rPr>
        <w:softHyphen/>
        <w:t>მა</w:t>
      </w:r>
      <w:r w:rsidRPr="00CD29BD">
        <w:rPr>
          <w:rFonts w:ascii="Sylfaen" w:hAnsi="Sylfaen"/>
          <w:lang w:val="ka-GE"/>
        </w:rPr>
        <w:softHyphen/>
        <w:t>რე</w:t>
      </w:r>
      <w:r w:rsidRPr="00CD29BD">
        <w:rPr>
          <w:rFonts w:ascii="Sylfaen" w:hAnsi="Sylfaen"/>
          <w:lang w:val="ka-GE"/>
        </w:rPr>
        <w:softHyphen/>
        <w:t>ბის  (10,3%),</w:t>
      </w:r>
      <w:r w:rsidRPr="00CD29BD">
        <w:rPr>
          <w:rFonts w:ascii="Sylfaen" w:hAnsi="Sylfaen"/>
        </w:rPr>
        <w:t xml:space="preserve"> </w:t>
      </w:r>
      <w:r w:rsidRPr="00CD29BD">
        <w:rPr>
          <w:rFonts w:ascii="Sylfaen" w:hAnsi="Sylfaen"/>
          <w:lang w:val="ka-GE"/>
        </w:rPr>
        <w:t>ტრანსპორტისა და კავ</w:t>
      </w:r>
      <w:r w:rsidRPr="00CD29BD">
        <w:rPr>
          <w:rFonts w:ascii="Sylfaen" w:hAnsi="Sylfaen"/>
          <w:lang w:val="ka-GE"/>
        </w:rPr>
        <w:softHyphen/>
      </w:r>
      <w:r w:rsidRPr="00CD29BD">
        <w:rPr>
          <w:rFonts w:ascii="Sylfaen" w:hAnsi="Sylfaen"/>
        </w:rPr>
        <w:softHyphen/>
      </w:r>
      <w:r w:rsidRPr="00CD29BD">
        <w:rPr>
          <w:rFonts w:ascii="Sylfaen" w:hAnsi="Sylfaen"/>
          <w:lang w:val="ka-GE"/>
        </w:rPr>
        <w:t>შირგაბმულობის (9,9%), აგრეთვე უძრავი ქონებით ოპერა</w:t>
      </w:r>
      <w:r w:rsidRPr="00CD29BD">
        <w:rPr>
          <w:rFonts w:ascii="Sylfaen" w:hAnsi="Sylfaen"/>
          <w:lang w:val="ka-GE"/>
        </w:rPr>
        <w:softHyphen/>
        <w:t>ცი</w:t>
      </w:r>
      <w:r w:rsidRPr="00CD29BD">
        <w:rPr>
          <w:rFonts w:ascii="Sylfaen" w:hAnsi="Sylfaen"/>
          <w:lang w:val="ka-GE"/>
        </w:rPr>
        <w:softHyphen/>
        <w:t>ე</w:t>
      </w:r>
      <w:r w:rsidRPr="00CD29BD">
        <w:rPr>
          <w:rFonts w:ascii="Sylfaen" w:hAnsi="Sylfaen"/>
          <w:lang w:val="ka-GE"/>
        </w:rPr>
        <w:softHyphen/>
        <w:t>ბის, იჯარისა და მომხმა</w:t>
      </w:r>
      <w:r w:rsidRPr="00CD29BD">
        <w:rPr>
          <w:rFonts w:ascii="Sylfaen" w:hAnsi="Sylfaen"/>
          <w:lang w:val="ka-GE"/>
        </w:rPr>
        <w:softHyphen/>
        <w:t>რებლისათვის მომსახურების გაწევის დარგის საწარმოებზეც (9,</w:t>
      </w:r>
      <w:r w:rsidRPr="00CD29BD">
        <w:rPr>
          <w:rFonts w:ascii="Sylfaen" w:hAnsi="Sylfaen"/>
        </w:rPr>
        <w:t>8</w:t>
      </w:r>
      <w:r w:rsidRPr="00CD29BD">
        <w:rPr>
          <w:rFonts w:ascii="Sylfaen" w:hAnsi="Sylfaen"/>
          <w:lang w:val="ka-GE"/>
        </w:rPr>
        <w:t>%)</w:t>
      </w:r>
      <w:r w:rsidRPr="00CD29BD">
        <w:rPr>
          <w:rFonts w:ascii="Sylfaen" w:hAnsi="Sylfaen"/>
        </w:rPr>
        <w:t>.</w:t>
      </w:r>
    </w:p>
    <w:p w:rsidR="00090E3A" w:rsidRPr="008D6C05" w:rsidRDefault="00090E3A" w:rsidP="00090E3A">
      <w:pPr>
        <w:spacing w:before="120" w:after="0" w:line="312" w:lineRule="auto"/>
        <w:ind w:left="-567"/>
        <w:jc w:val="both"/>
        <w:rPr>
          <w:rFonts w:ascii="Sylfaen" w:hAnsi="Sylfaen"/>
          <w:lang w:val="ka-GE"/>
        </w:rPr>
      </w:pPr>
      <w:r w:rsidRPr="008D6C05">
        <w:rPr>
          <w:rFonts w:ascii="Sylfaen" w:hAnsi="Sylfaen"/>
          <w:lang w:val="ka-GE"/>
        </w:rPr>
        <w:t>რეგიონების მიხედვით მთლიან ბრუნვაში ლიდერობს ქ. თბილისი და სხვა რეგი</w:t>
      </w:r>
      <w:r w:rsidRPr="008D6C05">
        <w:rPr>
          <w:rFonts w:ascii="Sylfaen" w:hAnsi="Sylfaen"/>
          <w:lang w:val="ka-GE"/>
        </w:rPr>
        <w:softHyphen/>
        <w:t>ო</w:t>
      </w:r>
      <w:r w:rsidRPr="008D6C05">
        <w:rPr>
          <w:rFonts w:ascii="Sylfaen" w:hAnsi="Sylfaen"/>
          <w:lang w:val="ka-GE"/>
        </w:rPr>
        <w:softHyphen/>
        <w:t>ნე</w:t>
      </w:r>
      <w:r w:rsidRPr="008D6C05">
        <w:rPr>
          <w:rFonts w:ascii="Sylfaen" w:hAnsi="Sylfaen"/>
          <w:lang w:val="ka-GE"/>
        </w:rPr>
        <w:softHyphen/>
        <w:t>ბი შემდეგი თანმიმდევრობით:</w:t>
      </w:r>
    </w:p>
    <w:p w:rsidR="00090E3A" w:rsidRPr="008D6C05" w:rsidRDefault="00090E3A" w:rsidP="00090E3A">
      <w:pPr>
        <w:numPr>
          <w:ilvl w:val="0"/>
          <w:numId w:val="8"/>
        </w:numPr>
        <w:tabs>
          <w:tab w:val="clear" w:pos="720"/>
          <w:tab w:val="num" w:pos="-284"/>
          <w:tab w:val="left" w:pos="142"/>
        </w:tabs>
        <w:spacing w:after="0" w:line="312" w:lineRule="auto"/>
        <w:ind w:left="-284" w:firstLine="0"/>
        <w:jc w:val="both"/>
        <w:rPr>
          <w:rFonts w:ascii="Sylfaen" w:hAnsi="Sylfaen" w:cs="Sylfaen"/>
          <w:noProof/>
        </w:rPr>
      </w:pPr>
      <w:r w:rsidRPr="008D6C05">
        <w:rPr>
          <w:rFonts w:ascii="Sylfaen" w:hAnsi="Sylfaen" w:cs="Sylfaen"/>
          <w:noProof/>
        </w:rPr>
        <w:t>ქ</w:t>
      </w:r>
      <w:r w:rsidRPr="008D6C05">
        <w:rPr>
          <w:rFonts w:ascii="Sylfaen" w:hAnsi="Sylfaen" w:cs="Sylfaen"/>
          <w:noProof/>
          <w:lang w:val="ka-GE"/>
        </w:rPr>
        <w:t xml:space="preserve">. </w:t>
      </w:r>
      <w:r w:rsidRPr="008D6C05">
        <w:rPr>
          <w:rFonts w:ascii="Sylfaen" w:hAnsi="Sylfaen" w:cs="Sylfaen"/>
          <w:noProof/>
        </w:rPr>
        <w:t xml:space="preserve">თბილისი – </w:t>
      </w:r>
      <w:r w:rsidRPr="008D6C05">
        <w:rPr>
          <w:rFonts w:ascii="Sylfaen" w:hAnsi="Sylfaen" w:cs="Sylfaen"/>
          <w:noProof/>
          <w:lang w:val="ka-GE"/>
        </w:rPr>
        <w:t>73</w:t>
      </w:r>
      <w:r w:rsidRPr="008D6C05">
        <w:rPr>
          <w:rFonts w:ascii="Sylfaen" w:hAnsi="Sylfaen" w:cs="Sylfaen"/>
          <w:noProof/>
        </w:rPr>
        <w:t>.9</w:t>
      </w:r>
      <w:r w:rsidRPr="008D6C05">
        <w:rPr>
          <w:rFonts w:ascii="Sylfaen" w:hAnsi="Sylfaen" w:cs="Sylfaen"/>
          <w:noProof/>
          <w:lang w:val="ka-GE"/>
        </w:rPr>
        <w:t>%,</w:t>
      </w:r>
    </w:p>
    <w:p w:rsidR="00090E3A" w:rsidRPr="008D6C05" w:rsidRDefault="00090E3A" w:rsidP="00090E3A">
      <w:pPr>
        <w:numPr>
          <w:ilvl w:val="0"/>
          <w:numId w:val="8"/>
        </w:numPr>
        <w:tabs>
          <w:tab w:val="clear" w:pos="720"/>
          <w:tab w:val="num" w:pos="-284"/>
          <w:tab w:val="left" w:pos="142"/>
        </w:tabs>
        <w:spacing w:after="0" w:line="312" w:lineRule="auto"/>
        <w:ind w:left="-284" w:firstLine="0"/>
        <w:jc w:val="both"/>
        <w:rPr>
          <w:rFonts w:ascii="Sylfaen" w:hAnsi="Sylfaen" w:cs="Sylfaen"/>
          <w:noProof/>
        </w:rPr>
      </w:pPr>
      <w:r w:rsidRPr="008D6C05">
        <w:rPr>
          <w:rFonts w:ascii="Sylfaen" w:hAnsi="Sylfaen" w:cs="Sylfaen"/>
          <w:noProof/>
        </w:rPr>
        <w:t>აჭარის ა.რ. –6.7</w:t>
      </w:r>
      <w:r w:rsidRPr="008D6C05">
        <w:rPr>
          <w:rFonts w:ascii="Sylfaen" w:hAnsi="Sylfaen" w:cs="Sylfaen"/>
          <w:noProof/>
          <w:lang w:val="ka-GE"/>
        </w:rPr>
        <w:t>%,</w:t>
      </w:r>
    </w:p>
    <w:p w:rsidR="00090E3A" w:rsidRPr="008D6C05" w:rsidRDefault="00090E3A" w:rsidP="00090E3A">
      <w:pPr>
        <w:numPr>
          <w:ilvl w:val="0"/>
          <w:numId w:val="8"/>
        </w:numPr>
        <w:tabs>
          <w:tab w:val="clear" w:pos="720"/>
          <w:tab w:val="num" w:pos="-284"/>
          <w:tab w:val="left" w:pos="142"/>
        </w:tabs>
        <w:spacing w:after="0" w:line="312" w:lineRule="auto"/>
        <w:ind w:left="-284" w:firstLine="0"/>
        <w:jc w:val="both"/>
        <w:rPr>
          <w:rFonts w:ascii="Sylfaen" w:hAnsi="Sylfaen" w:cs="Sylfaen"/>
          <w:noProof/>
        </w:rPr>
      </w:pPr>
      <w:r w:rsidRPr="008D6C05">
        <w:rPr>
          <w:rFonts w:ascii="Sylfaen" w:hAnsi="Sylfaen" w:cs="Sylfaen"/>
          <w:noProof/>
        </w:rPr>
        <w:t xml:space="preserve">ქვემო ქართლი – </w:t>
      </w:r>
      <w:r w:rsidRPr="008D6C05">
        <w:rPr>
          <w:rFonts w:ascii="Sylfaen" w:hAnsi="Sylfaen" w:cs="Sylfaen"/>
          <w:noProof/>
          <w:lang w:val="ka-GE"/>
        </w:rPr>
        <w:t>5.</w:t>
      </w:r>
      <w:r w:rsidRPr="008D6C05">
        <w:rPr>
          <w:rFonts w:ascii="Sylfaen" w:hAnsi="Sylfaen" w:cs="Sylfaen"/>
          <w:noProof/>
        </w:rPr>
        <w:t>7</w:t>
      </w:r>
      <w:r w:rsidRPr="008D6C05">
        <w:rPr>
          <w:rFonts w:ascii="Sylfaen" w:hAnsi="Sylfaen" w:cs="Sylfaen"/>
          <w:noProof/>
          <w:lang w:val="ka-GE"/>
        </w:rPr>
        <w:t>%,</w:t>
      </w:r>
    </w:p>
    <w:p w:rsidR="00090E3A" w:rsidRPr="008D6C05" w:rsidRDefault="00090E3A" w:rsidP="00090E3A">
      <w:pPr>
        <w:numPr>
          <w:ilvl w:val="0"/>
          <w:numId w:val="8"/>
        </w:numPr>
        <w:tabs>
          <w:tab w:val="clear" w:pos="720"/>
          <w:tab w:val="num" w:pos="-284"/>
          <w:tab w:val="left" w:pos="142"/>
        </w:tabs>
        <w:spacing w:after="0" w:line="312" w:lineRule="auto"/>
        <w:ind w:left="-284" w:firstLine="0"/>
        <w:jc w:val="both"/>
        <w:rPr>
          <w:rFonts w:ascii="Sylfaen" w:hAnsi="Sylfaen" w:cs="Sylfaen"/>
          <w:noProof/>
        </w:rPr>
      </w:pPr>
      <w:r w:rsidRPr="008D6C05">
        <w:rPr>
          <w:rFonts w:ascii="Sylfaen" w:hAnsi="Sylfaen" w:cs="Sylfaen"/>
          <w:noProof/>
        </w:rPr>
        <w:t>იმერეთი – 4.1</w:t>
      </w:r>
      <w:r w:rsidRPr="008D6C05">
        <w:rPr>
          <w:rFonts w:ascii="Sylfaen" w:hAnsi="Sylfaen" w:cs="Sylfaen"/>
          <w:noProof/>
          <w:lang w:val="ka-GE"/>
        </w:rPr>
        <w:t>%,</w:t>
      </w:r>
    </w:p>
    <w:p w:rsidR="004A3D30" w:rsidRPr="00806435" w:rsidRDefault="00090E3A" w:rsidP="00806435">
      <w:pPr>
        <w:numPr>
          <w:ilvl w:val="0"/>
          <w:numId w:val="8"/>
        </w:numPr>
        <w:tabs>
          <w:tab w:val="clear" w:pos="720"/>
          <w:tab w:val="num" w:pos="-284"/>
          <w:tab w:val="left" w:pos="142"/>
        </w:tabs>
        <w:spacing w:after="0" w:line="312" w:lineRule="auto"/>
        <w:ind w:left="-284" w:firstLine="0"/>
        <w:jc w:val="both"/>
        <w:rPr>
          <w:rFonts w:ascii="Sylfaen" w:hAnsi="Sylfaen" w:cs="Sylfaen"/>
          <w:noProof/>
        </w:rPr>
      </w:pPr>
      <w:r w:rsidRPr="008D6C05">
        <w:rPr>
          <w:rFonts w:ascii="Sylfaen" w:hAnsi="Sylfaen" w:cs="Sylfaen"/>
          <w:noProof/>
        </w:rPr>
        <w:t>სამეგრელო-ზემო სვანეთი – 3</w:t>
      </w:r>
      <w:r w:rsidRPr="008D6C05">
        <w:rPr>
          <w:rFonts w:ascii="Sylfaen" w:hAnsi="Sylfaen" w:cs="Sylfaen"/>
          <w:noProof/>
          <w:lang w:val="ka-GE"/>
        </w:rPr>
        <w:t>.</w:t>
      </w:r>
      <w:r w:rsidRPr="008D6C05">
        <w:rPr>
          <w:rFonts w:ascii="Sylfaen" w:hAnsi="Sylfaen" w:cs="Sylfaen"/>
          <w:noProof/>
        </w:rPr>
        <w:t>0</w:t>
      </w:r>
      <w:r w:rsidRPr="008D6C05">
        <w:rPr>
          <w:rFonts w:ascii="Sylfaen" w:hAnsi="Sylfaen" w:cs="Sylfaen"/>
          <w:noProof/>
          <w:lang w:val="ka-GE"/>
        </w:rPr>
        <w:t>%</w:t>
      </w:r>
    </w:p>
    <w:p w:rsidR="00806435" w:rsidRPr="008D6C05" w:rsidRDefault="00806435" w:rsidP="00806435">
      <w:pPr>
        <w:spacing w:after="0" w:line="360" w:lineRule="auto"/>
        <w:ind w:left="-567"/>
        <w:jc w:val="both"/>
        <w:rPr>
          <w:rFonts w:ascii="Sylfaen" w:hAnsi="Sylfaen"/>
          <w:lang w:val="ka-GE"/>
        </w:rPr>
      </w:pPr>
      <w:r w:rsidRPr="008D6C05">
        <w:rPr>
          <w:rFonts w:ascii="Sylfaen" w:hAnsi="Sylfaen"/>
          <w:lang w:val="ka-GE"/>
        </w:rPr>
        <w:lastRenderedPageBreak/>
        <w:t>რეგიონების მიხედვით პროდუქციის მთლიან გამოშ</w:t>
      </w:r>
      <w:r w:rsidRPr="008D6C05">
        <w:rPr>
          <w:rFonts w:ascii="Sylfaen" w:hAnsi="Sylfaen"/>
          <w:lang w:val="ka-GE"/>
        </w:rPr>
        <w:softHyphen/>
        <w:t>ვე</w:t>
      </w:r>
      <w:r w:rsidRPr="008D6C05">
        <w:rPr>
          <w:rFonts w:ascii="Sylfaen" w:hAnsi="Sylfaen"/>
          <w:lang w:val="ka-GE"/>
        </w:rPr>
        <w:softHyphen/>
        <w:t>ბაში ლიდერობს კვლავ ქ. თბი</w:t>
      </w:r>
      <w:r w:rsidRPr="008D6C05">
        <w:rPr>
          <w:rFonts w:ascii="Sylfaen" w:hAnsi="Sylfaen"/>
          <w:lang w:val="ka-GE"/>
        </w:rPr>
        <w:softHyphen/>
      </w:r>
      <w:r w:rsidRPr="008D6C05">
        <w:rPr>
          <w:rFonts w:ascii="Sylfaen" w:hAnsi="Sylfaen"/>
          <w:lang w:val="ka-GE"/>
        </w:rPr>
        <w:softHyphen/>
      </w:r>
      <w:r w:rsidRPr="008D6C05">
        <w:rPr>
          <w:rFonts w:ascii="Sylfaen" w:hAnsi="Sylfaen"/>
          <w:lang w:val="ka-GE"/>
        </w:rPr>
        <w:softHyphen/>
      </w:r>
      <w:r w:rsidRPr="008D6C05">
        <w:rPr>
          <w:rFonts w:ascii="Sylfaen" w:hAnsi="Sylfaen"/>
          <w:lang w:val="ka-GE"/>
        </w:rPr>
        <w:softHyphen/>
        <w:t>ლისი და სხვა რეგიონები შემდეგი თანმიმ</w:t>
      </w:r>
      <w:r w:rsidRPr="008D6C05">
        <w:rPr>
          <w:rFonts w:ascii="Sylfaen" w:hAnsi="Sylfaen"/>
          <w:lang w:val="ka-GE"/>
        </w:rPr>
        <w:softHyphen/>
        <w:t>დევ</w:t>
      </w:r>
      <w:r w:rsidRPr="008D6C05">
        <w:rPr>
          <w:rFonts w:ascii="Sylfaen" w:hAnsi="Sylfaen"/>
          <w:lang w:val="ka-GE"/>
        </w:rPr>
        <w:softHyphen/>
      </w:r>
      <w:r w:rsidRPr="008D6C05">
        <w:rPr>
          <w:rFonts w:ascii="Sylfaen" w:hAnsi="Sylfaen"/>
          <w:lang w:val="ka-GE"/>
        </w:rPr>
        <w:softHyphen/>
      </w:r>
      <w:r w:rsidRPr="008D6C05">
        <w:rPr>
          <w:rFonts w:ascii="Sylfaen" w:hAnsi="Sylfaen"/>
          <w:lang w:val="ka-GE"/>
        </w:rPr>
        <w:softHyphen/>
        <w:t>რო</w:t>
      </w:r>
      <w:r w:rsidRPr="008D6C05">
        <w:rPr>
          <w:rFonts w:ascii="Sylfaen" w:hAnsi="Sylfaen"/>
          <w:lang w:val="ka-GE"/>
        </w:rPr>
        <w:softHyphen/>
        <w:t>ბით:</w:t>
      </w:r>
    </w:p>
    <w:p w:rsidR="00806435" w:rsidRPr="008D6C05" w:rsidRDefault="00806435" w:rsidP="00806435">
      <w:pPr>
        <w:numPr>
          <w:ilvl w:val="0"/>
          <w:numId w:val="9"/>
        </w:numPr>
        <w:tabs>
          <w:tab w:val="clear" w:pos="720"/>
          <w:tab w:val="left" w:pos="900"/>
        </w:tabs>
        <w:spacing w:after="0" w:line="360" w:lineRule="auto"/>
        <w:ind w:left="142" w:hanging="426"/>
        <w:jc w:val="both"/>
        <w:rPr>
          <w:rFonts w:ascii="Sylfaen" w:hAnsi="Sylfaen" w:cs="Sylfaen"/>
          <w:noProof/>
        </w:rPr>
      </w:pPr>
      <w:r w:rsidRPr="008D6C05">
        <w:rPr>
          <w:rFonts w:ascii="Sylfaen" w:hAnsi="Sylfaen" w:cs="Sylfaen"/>
          <w:noProof/>
        </w:rPr>
        <w:t>ქ</w:t>
      </w:r>
      <w:r w:rsidRPr="008D6C05">
        <w:rPr>
          <w:rFonts w:ascii="Sylfaen" w:hAnsi="Sylfaen" w:cs="Sylfaen"/>
          <w:noProof/>
          <w:lang w:val="ka-GE"/>
        </w:rPr>
        <w:t>.</w:t>
      </w:r>
      <w:r w:rsidRPr="008D6C05">
        <w:rPr>
          <w:rFonts w:ascii="Sylfaen" w:hAnsi="Sylfaen" w:cs="Sylfaen"/>
          <w:noProof/>
        </w:rPr>
        <w:t xml:space="preserve"> თბილისი – 67.3</w:t>
      </w:r>
      <w:r w:rsidRPr="008D6C05">
        <w:rPr>
          <w:rFonts w:ascii="Sylfaen" w:hAnsi="Sylfaen" w:cs="Sylfaen"/>
          <w:noProof/>
          <w:lang w:val="ka-GE"/>
        </w:rPr>
        <w:t>%,</w:t>
      </w:r>
      <w:r w:rsidRPr="008D6C05">
        <w:rPr>
          <w:rFonts w:ascii="Sylfaen" w:hAnsi="Sylfaen" w:cs="Sylfaen"/>
          <w:noProof/>
        </w:rPr>
        <w:t xml:space="preserve"> </w:t>
      </w:r>
    </w:p>
    <w:p w:rsidR="00806435" w:rsidRPr="008D6C05" w:rsidRDefault="00806435" w:rsidP="00806435">
      <w:pPr>
        <w:numPr>
          <w:ilvl w:val="0"/>
          <w:numId w:val="9"/>
        </w:numPr>
        <w:tabs>
          <w:tab w:val="clear" w:pos="720"/>
          <w:tab w:val="left" w:pos="900"/>
        </w:tabs>
        <w:spacing w:after="0" w:line="360" w:lineRule="auto"/>
        <w:ind w:left="142" w:hanging="426"/>
        <w:jc w:val="both"/>
        <w:rPr>
          <w:rFonts w:ascii="Sylfaen" w:hAnsi="Sylfaen" w:cs="Sylfaen"/>
          <w:noProof/>
        </w:rPr>
      </w:pPr>
      <w:r w:rsidRPr="008D6C05">
        <w:rPr>
          <w:rFonts w:ascii="Sylfaen" w:hAnsi="Sylfaen" w:cs="Sylfaen"/>
          <w:noProof/>
        </w:rPr>
        <w:t xml:space="preserve">აჭარის ა.რ. – </w:t>
      </w:r>
      <w:r>
        <w:rPr>
          <w:rFonts w:ascii="Sylfaen" w:hAnsi="Sylfaen" w:cs="Sylfaen"/>
          <w:noProof/>
        </w:rPr>
        <w:t>8.0</w:t>
      </w:r>
      <w:r w:rsidRPr="008D6C05">
        <w:rPr>
          <w:rFonts w:ascii="Sylfaen" w:hAnsi="Sylfaen" w:cs="Sylfaen"/>
          <w:noProof/>
          <w:lang w:val="ka-GE"/>
        </w:rPr>
        <w:t>%,</w:t>
      </w:r>
      <w:r w:rsidRPr="008D6C05">
        <w:rPr>
          <w:rFonts w:ascii="Sylfaen" w:hAnsi="Sylfaen" w:cs="Sylfaen"/>
          <w:noProof/>
        </w:rPr>
        <w:t xml:space="preserve"> </w:t>
      </w:r>
    </w:p>
    <w:p w:rsidR="00806435" w:rsidRPr="008D6C05" w:rsidRDefault="00806435" w:rsidP="00806435">
      <w:pPr>
        <w:numPr>
          <w:ilvl w:val="0"/>
          <w:numId w:val="9"/>
        </w:numPr>
        <w:tabs>
          <w:tab w:val="clear" w:pos="720"/>
          <w:tab w:val="left" w:pos="900"/>
        </w:tabs>
        <w:spacing w:after="0" w:line="360" w:lineRule="auto"/>
        <w:ind w:left="142" w:hanging="426"/>
        <w:jc w:val="both"/>
        <w:rPr>
          <w:rFonts w:ascii="Sylfaen" w:hAnsi="Sylfaen" w:cs="Sylfaen"/>
          <w:noProof/>
        </w:rPr>
      </w:pPr>
      <w:r w:rsidRPr="008D6C05">
        <w:rPr>
          <w:rFonts w:ascii="Sylfaen" w:hAnsi="Sylfaen" w:cs="Sylfaen"/>
          <w:noProof/>
        </w:rPr>
        <w:t>ქვემო ქართლი – 7.7</w:t>
      </w:r>
      <w:r w:rsidRPr="008D6C05">
        <w:rPr>
          <w:rFonts w:ascii="Sylfaen" w:hAnsi="Sylfaen" w:cs="Sylfaen"/>
          <w:noProof/>
          <w:lang w:val="ka-GE"/>
        </w:rPr>
        <w:t>%,</w:t>
      </w:r>
    </w:p>
    <w:p w:rsidR="00806435" w:rsidRPr="008D6C05" w:rsidRDefault="00806435" w:rsidP="00806435">
      <w:pPr>
        <w:numPr>
          <w:ilvl w:val="0"/>
          <w:numId w:val="9"/>
        </w:numPr>
        <w:tabs>
          <w:tab w:val="clear" w:pos="720"/>
          <w:tab w:val="left" w:pos="900"/>
        </w:tabs>
        <w:spacing w:after="0" w:line="360" w:lineRule="auto"/>
        <w:ind w:left="142" w:hanging="426"/>
        <w:jc w:val="both"/>
        <w:rPr>
          <w:rFonts w:ascii="Sylfaen" w:hAnsi="Sylfaen" w:cs="Sylfaen"/>
          <w:noProof/>
        </w:rPr>
      </w:pPr>
      <w:r w:rsidRPr="008D6C05">
        <w:rPr>
          <w:rFonts w:ascii="Sylfaen" w:hAnsi="Sylfaen" w:cs="Sylfaen"/>
          <w:noProof/>
        </w:rPr>
        <w:t>იმერეთი –</w:t>
      </w:r>
      <w:r w:rsidRPr="008D6C05">
        <w:rPr>
          <w:rFonts w:ascii="Sylfaen" w:hAnsi="Sylfaen" w:cs="Sylfaen"/>
          <w:noProof/>
          <w:lang w:val="ka-GE"/>
        </w:rPr>
        <w:t xml:space="preserve"> 4.</w:t>
      </w:r>
      <w:r w:rsidRPr="008D6C05">
        <w:rPr>
          <w:rFonts w:ascii="Sylfaen" w:hAnsi="Sylfaen" w:cs="Sylfaen"/>
          <w:noProof/>
        </w:rPr>
        <w:t>8</w:t>
      </w:r>
      <w:r w:rsidRPr="008D6C05">
        <w:rPr>
          <w:rFonts w:ascii="Sylfaen" w:hAnsi="Sylfaen" w:cs="Sylfaen"/>
          <w:noProof/>
          <w:lang w:val="ka-GE"/>
        </w:rPr>
        <w:t>%,</w:t>
      </w:r>
    </w:p>
    <w:p w:rsidR="00806435" w:rsidRPr="00806435" w:rsidRDefault="00806435" w:rsidP="00806435">
      <w:pPr>
        <w:numPr>
          <w:ilvl w:val="0"/>
          <w:numId w:val="9"/>
        </w:numPr>
        <w:tabs>
          <w:tab w:val="clear" w:pos="720"/>
          <w:tab w:val="left" w:pos="900"/>
        </w:tabs>
        <w:spacing w:after="0" w:line="360" w:lineRule="auto"/>
        <w:ind w:left="142" w:hanging="426"/>
        <w:jc w:val="both"/>
        <w:rPr>
          <w:rFonts w:ascii="Sylfaen" w:hAnsi="Sylfaen" w:cs="Sylfaen"/>
          <w:noProof/>
          <w:lang w:val="ka-GE"/>
        </w:rPr>
      </w:pPr>
      <w:r w:rsidRPr="008D6C05">
        <w:rPr>
          <w:rFonts w:ascii="Sylfaen" w:hAnsi="Sylfaen" w:cs="Sylfaen"/>
          <w:noProof/>
        </w:rPr>
        <w:t>სამეგრელო-ზემო სვანეთი – 3.9</w:t>
      </w:r>
      <w:r w:rsidRPr="008D6C05">
        <w:rPr>
          <w:rFonts w:ascii="Sylfaen" w:hAnsi="Sylfaen" w:cs="Sylfaen"/>
          <w:noProof/>
          <w:lang w:val="ka-GE"/>
        </w:rPr>
        <w:t>%.</w:t>
      </w:r>
    </w:p>
    <w:p w:rsidR="00806435" w:rsidRPr="00806435" w:rsidRDefault="00806435" w:rsidP="00806435">
      <w:pPr>
        <w:spacing w:before="120" w:after="0" w:line="360" w:lineRule="auto"/>
        <w:ind w:left="-567"/>
        <w:jc w:val="both"/>
        <w:rPr>
          <w:rFonts w:ascii="Sylfaen" w:hAnsi="Sylfaen"/>
          <w:lang w:val="ka-GE"/>
        </w:rPr>
      </w:pPr>
      <w:r w:rsidRPr="00806435">
        <w:rPr>
          <w:rFonts w:ascii="Sylfaen" w:hAnsi="Sylfaen" w:cs="Sylfaen"/>
          <w:lang w:val="ka-GE"/>
        </w:rPr>
        <w:t>შემდეგი</w:t>
      </w:r>
      <w:r w:rsidRPr="00806435">
        <w:rPr>
          <w:rFonts w:ascii="Sylfaen" w:hAnsi="Sylfaen"/>
          <w:lang w:val="ka-GE"/>
        </w:rPr>
        <w:t xml:space="preserve"> დიაგრამა ასახავს რეგიონების (ქ. თბილისის გარდა) მიხედვით ბრუნვასა და პროდუქციის გამოშვებას:</w:t>
      </w:r>
    </w:p>
    <w:p w:rsidR="00806435" w:rsidRDefault="00806435" w:rsidP="00806435">
      <w:pPr>
        <w:tabs>
          <w:tab w:val="left" w:pos="900"/>
        </w:tabs>
        <w:spacing w:after="0" w:line="360" w:lineRule="auto"/>
        <w:ind w:left="-284"/>
        <w:jc w:val="both"/>
        <w:rPr>
          <w:rFonts w:ascii="Sylfaen" w:hAnsi="Sylfaen" w:cs="Sylfaen"/>
          <w:noProof/>
          <w:lang w:val="ka-GE"/>
        </w:rPr>
      </w:pPr>
    </w:p>
    <w:p w:rsidR="001627B7" w:rsidRDefault="00806435" w:rsidP="00806435">
      <w:pPr>
        <w:ind w:left="-567"/>
        <w:rPr>
          <w:rFonts w:ascii="Sylfaen" w:hAnsi="Sylfaen" w:cs="Sylfaen"/>
          <w:noProof/>
        </w:rPr>
      </w:pPr>
      <w:r w:rsidRPr="00806435">
        <w:rPr>
          <w:rFonts w:ascii="Sylfaen" w:hAnsi="Sylfaen" w:cs="Sylfaen"/>
          <w:noProof/>
        </w:rPr>
        <w:drawing>
          <wp:inline distT="0" distB="0" distL="0" distR="0">
            <wp:extent cx="5715000" cy="3085928"/>
            <wp:effectExtent l="0" t="0" r="0" b="0"/>
            <wp:docPr id="3"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627B7" w:rsidRPr="008D6C05" w:rsidRDefault="001627B7" w:rsidP="001627B7">
      <w:pPr>
        <w:spacing w:after="0" w:line="360" w:lineRule="auto"/>
        <w:ind w:left="-567"/>
        <w:jc w:val="both"/>
        <w:rPr>
          <w:rFonts w:ascii="Sylfaen" w:hAnsi="Sylfaen"/>
          <w:lang w:val="ka-GE"/>
        </w:rPr>
      </w:pPr>
      <w:r w:rsidRPr="008D6C05">
        <w:rPr>
          <w:rFonts w:ascii="Sylfaen" w:hAnsi="Sylfaen"/>
          <w:lang w:val="ka-GE"/>
        </w:rPr>
        <w:t>რაც შეეხება დასაქმებულთა რაოდენობას, რეგიონების მიხედვით აღნიშნული მაჩვენებელი შემდეგ</w:t>
      </w:r>
      <w:r w:rsidRPr="008D6C05">
        <w:rPr>
          <w:rFonts w:ascii="Sylfaen" w:hAnsi="Sylfaen"/>
          <w:lang w:val="ka-GE"/>
        </w:rPr>
        <w:softHyphen/>
        <w:t>ნაი</w:t>
      </w:r>
      <w:r w:rsidRPr="008D6C05">
        <w:rPr>
          <w:rFonts w:ascii="Sylfaen" w:hAnsi="Sylfaen"/>
          <w:lang w:val="ka-GE"/>
        </w:rPr>
        <w:softHyphen/>
        <w:t xml:space="preserve">რად ნაწილდება: </w:t>
      </w:r>
    </w:p>
    <w:p w:rsidR="001627B7" w:rsidRPr="008D6C05" w:rsidRDefault="001627B7" w:rsidP="001627B7">
      <w:pPr>
        <w:numPr>
          <w:ilvl w:val="0"/>
          <w:numId w:val="10"/>
        </w:numPr>
        <w:tabs>
          <w:tab w:val="clear" w:pos="720"/>
          <w:tab w:val="num" w:pos="0"/>
          <w:tab w:val="left" w:pos="900"/>
        </w:tabs>
        <w:spacing w:after="0" w:line="360" w:lineRule="auto"/>
        <w:ind w:hanging="1004"/>
        <w:jc w:val="both"/>
        <w:rPr>
          <w:rFonts w:ascii="Sylfaen" w:hAnsi="Sylfaen" w:cs="Sylfaen"/>
          <w:noProof/>
        </w:rPr>
      </w:pPr>
      <w:r w:rsidRPr="008D6C05">
        <w:rPr>
          <w:rFonts w:ascii="Sylfaen" w:hAnsi="Sylfaen" w:cs="Sylfaen"/>
          <w:noProof/>
        </w:rPr>
        <w:t>ქ</w:t>
      </w:r>
      <w:r w:rsidRPr="008D6C05">
        <w:rPr>
          <w:rFonts w:ascii="Sylfaen" w:hAnsi="Sylfaen" w:cs="Sylfaen"/>
          <w:noProof/>
          <w:lang w:val="ka-GE"/>
        </w:rPr>
        <w:t>.</w:t>
      </w:r>
      <w:r w:rsidRPr="008D6C05">
        <w:rPr>
          <w:rFonts w:ascii="Sylfaen" w:hAnsi="Sylfaen" w:cs="Sylfaen"/>
          <w:noProof/>
        </w:rPr>
        <w:t xml:space="preserve"> თბილისი – 65.8</w:t>
      </w:r>
      <w:r w:rsidRPr="008D6C05">
        <w:rPr>
          <w:rFonts w:ascii="Sylfaen" w:hAnsi="Sylfaen" w:cs="Sylfaen"/>
          <w:noProof/>
          <w:lang w:val="ka-GE"/>
        </w:rPr>
        <w:t>%,</w:t>
      </w:r>
    </w:p>
    <w:p w:rsidR="001627B7" w:rsidRPr="008D6C05" w:rsidRDefault="001627B7" w:rsidP="001627B7">
      <w:pPr>
        <w:numPr>
          <w:ilvl w:val="0"/>
          <w:numId w:val="10"/>
        </w:numPr>
        <w:tabs>
          <w:tab w:val="clear" w:pos="720"/>
          <w:tab w:val="num" w:pos="0"/>
          <w:tab w:val="left" w:pos="900"/>
        </w:tabs>
        <w:spacing w:after="0" w:line="360" w:lineRule="auto"/>
        <w:ind w:hanging="1004"/>
        <w:jc w:val="both"/>
        <w:rPr>
          <w:rFonts w:ascii="Sylfaen" w:hAnsi="Sylfaen" w:cs="Sylfaen"/>
          <w:noProof/>
        </w:rPr>
      </w:pPr>
      <w:r w:rsidRPr="008D6C05">
        <w:rPr>
          <w:rFonts w:ascii="Sylfaen" w:hAnsi="Sylfaen" w:cs="Sylfaen"/>
          <w:noProof/>
        </w:rPr>
        <w:t xml:space="preserve">აჭარის ა.რ. – </w:t>
      </w:r>
      <w:r>
        <w:rPr>
          <w:rFonts w:ascii="Sylfaen" w:hAnsi="Sylfaen" w:cs="Sylfaen"/>
          <w:noProof/>
        </w:rPr>
        <w:t>9.0</w:t>
      </w:r>
      <w:r w:rsidRPr="008D6C05">
        <w:rPr>
          <w:rFonts w:ascii="Sylfaen" w:hAnsi="Sylfaen" w:cs="Sylfaen"/>
          <w:noProof/>
          <w:lang w:val="ka-GE"/>
        </w:rPr>
        <w:t>%,</w:t>
      </w:r>
    </w:p>
    <w:p w:rsidR="001627B7" w:rsidRPr="008D6C05" w:rsidRDefault="001627B7" w:rsidP="001627B7">
      <w:pPr>
        <w:numPr>
          <w:ilvl w:val="0"/>
          <w:numId w:val="10"/>
        </w:numPr>
        <w:tabs>
          <w:tab w:val="clear" w:pos="720"/>
          <w:tab w:val="num" w:pos="0"/>
          <w:tab w:val="left" w:pos="900"/>
        </w:tabs>
        <w:spacing w:after="0" w:line="360" w:lineRule="auto"/>
        <w:ind w:hanging="1004"/>
        <w:jc w:val="both"/>
        <w:rPr>
          <w:rFonts w:ascii="Sylfaen" w:hAnsi="Sylfaen" w:cs="Sylfaen"/>
          <w:noProof/>
        </w:rPr>
      </w:pPr>
      <w:r w:rsidRPr="008D6C05">
        <w:rPr>
          <w:rFonts w:ascii="Sylfaen" w:hAnsi="Sylfaen" w:cs="Sylfaen"/>
          <w:noProof/>
        </w:rPr>
        <w:t>იმერეთი – 6.9</w:t>
      </w:r>
      <w:r w:rsidRPr="008D6C05">
        <w:rPr>
          <w:rFonts w:ascii="Sylfaen" w:hAnsi="Sylfaen" w:cs="Sylfaen"/>
          <w:noProof/>
          <w:lang w:val="ka-GE"/>
        </w:rPr>
        <w:t>%,</w:t>
      </w:r>
      <w:r w:rsidRPr="008D6C05">
        <w:rPr>
          <w:rFonts w:ascii="Sylfaen" w:hAnsi="Sylfaen" w:cs="Sylfaen"/>
          <w:noProof/>
        </w:rPr>
        <w:t xml:space="preserve"> </w:t>
      </w:r>
    </w:p>
    <w:p w:rsidR="001627B7" w:rsidRPr="008D6C05" w:rsidRDefault="001627B7" w:rsidP="001627B7">
      <w:pPr>
        <w:numPr>
          <w:ilvl w:val="0"/>
          <w:numId w:val="10"/>
        </w:numPr>
        <w:tabs>
          <w:tab w:val="clear" w:pos="720"/>
          <w:tab w:val="num" w:pos="0"/>
          <w:tab w:val="left" w:pos="900"/>
        </w:tabs>
        <w:spacing w:after="0" w:line="360" w:lineRule="auto"/>
        <w:ind w:hanging="1004"/>
        <w:jc w:val="both"/>
        <w:rPr>
          <w:rFonts w:ascii="Sylfaen" w:hAnsi="Sylfaen" w:cs="Sylfaen"/>
          <w:noProof/>
        </w:rPr>
      </w:pPr>
      <w:r w:rsidRPr="008D6C05">
        <w:rPr>
          <w:rFonts w:ascii="Sylfaen" w:hAnsi="Sylfaen" w:cs="Sylfaen"/>
          <w:noProof/>
        </w:rPr>
        <w:t xml:space="preserve">ქვემო ქართლი – </w:t>
      </w:r>
      <w:r w:rsidRPr="008D6C05">
        <w:rPr>
          <w:rFonts w:ascii="Sylfaen" w:hAnsi="Sylfaen" w:cs="Sylfaen"/>
          <w:noProof/>
          <w:lang w:val="ka-GE"/>
        </w:rPr>
        <w:t>5.</w:t>
      </w:r>
      <w:r w:rsidRPr="008D6C05">
        <w:rPr>
          <w:rFonts w:ascii="Sylfaen" w:hAnsi="Sylfaen" w:cs="Sylfaen"/>
          <w:noProof/>
        </w:rPr>
        <w:t>5</w:t>
      </w:r>
      <w:r w:rsidRPr="008D6C05">
        <w:rPr>
          <w:rFonts w:ascii="Sylfaen" w:hAnsi="Sylfaen" w:cs="Sylfaen"/>
          <w:noProof/>
          <w:lang w:val="ka-GE"/>
        </w:rPr>
        <w:t>%,</w:t>
      </w:r>
      <w:r w:rsidRPr="008D6C05">
        <w:rPr>
          <w:rFonts w:ascii="Sylfaen" w:hAnsi="Sylfaen" w:cs="Sylfaen"/>
          <w:noProof/>
        </w:rPr>
        <w:t xml:space="preserve"> </w:t>
      </w:r>
    </w:p>
    <w:p w:rsidR="001627B7" w:rsidRPr="008D6C05" w:rsidRDefault="001627B7" w:rsidP="001627B7">
      <w:pPr>
        <w:numPr>
          <w:ilvl w:val="0"/>
          <w:numId w:val="10"/>
        </w:numPr>
        <w:tabs>
          <w:tab w:val="clear" w:pos="720"/>
          <w:tab w:val="num" w:pos="0"/>
          <w:tab w:val="left" w:pos="900"/>
        </w:tabs>
        <w:spacing w:after="0" w:line="360" w:lineRule="auto"/>
        <w:ind w:hanging="1004"/>
        <w:jc w:val="both"/>
        <w:rPr>
          <w:rFonts w:ascii="Sylfaen" w:hAnsi="Sylfaen" w:cs="Sylfaen"/>
          <w:noProof/>
        </w:rPr>
      </w:pPr>
      <w:r w:rsidRPr="008D6C05">
        <w:rPr>
          <w:rFonts w:ascii="Sylfaen" w:hAnsi="Sylfaen" w:cs="Sylfaen"/>
          <w:noProof/>
        </w:rPr>
        <w:t xml:space="preserve">სამეგრელო-ზემო სვანეთი – </w:t>
      </w:r>
      <w:r w:rsidRPr="008D6C05">
        <w:rPr>
          <w:rFonts w:ascii="Sylfaen" w:hAnsi="Sylfaen" w:cs="Sylfaen"/>
          <w:noProof/>
          <w:lang w:val="ka-GE"/>
        </w:rPr>
        <w:t>3.</w:t>
      </w:r>
      <w:r>
        <w:rPr>
          <w:rFonts w:ascii="Sylfaen" w:hAnsi="Sylfaen" w:cs="Sylfaen"/>
          <w:noProof/>
        </w:rPr>
        <w:t>6</w:t>
      </w:r>
      <w:r w:rsidRPr="008D6C05">
        <w:rPr>
          <w:rFonts w:ascii="Sylfaen" w:hAnsi="Sylfaen" w:cs="Sylfaen"/>
          <w:noProof/>
          <w:lang w:val="ka-GE"/>
        </w:rPr>
        <w:t>%.</w:t>
      </w:r>
    </w:p>
    <w:p w:rsidR="00EA0F1F" w:rsidRDefault="001627B7" w:rsidP="001627B7">
      <w:pPr>
        <w:spacing w:after="0" w:line="360" w:lineRule="auto"/>
        <w:ind w:left="-567"/>
        <w:jc w:val="both"/>
        <w:rPr>
          <w:rFonts w:ascii="Sylfaen" w:hAnsi="Sylfaen" w:cs="Sylfaen"/>
          <w:noProof/>
        </w:rPr>
      </w:pPr>
      <w:r w:rsidRPr="008D6C05">
        <w:rPr>
          <w:rFonts w:ascii="Sylfaen" w:hAnsi="Sylfaen" w:cs="Sylfaen"/>
          <w:noProof/>
        </w:rPr>
        <w:t>შემდეგი დიაგრამა ასახავს ცალკეულ რეგიონში დასაქმებულთა მთლიანი რაოდენობის გა</w:t>
      </w:r>
      <w:r w:rsidRPr="008D6C05">
        <w:rPr>
          <w:rFonts w:ascii="Sylfaen" w:hAnsi="Sylfaen" w:cs="Sylfaen"/>
          <w:noProof/>
        </w:rPr>
        <w:softHyphen/>
        <w:t>ნაწილებას სქესის მიხედვით:</w:t>
      </w:r>
    </w:p>
    <w:p w:rsidR="001627B7" w:rsidRPr="001627B7" w:rsidRDefault="001627B7" w:rsidP="001627B7">
      <w:pPr>
        <w:spacing w:after="0" w:line="360" w:lineRule="auto"/>
        <w:ind w:left="-567"/>
        <w:jc w:val="both"/>
        <w:rPr>
          <w:rFonts w:ascii="Sylfaen" w:hAnsi="Sylfaen" w:cs="Sylfaen"/>
          <w:noProof/>
        </w:rPr>
      </w:pPr>
      <w:r w:rsidRPr="001627B7">
        <w:rPr>
          <w:rFonts w:ascii="Sylfaen" w:hAnsi="Sylfaen" w:cs="Sylfaen"/>
          <w:noProof/>
        </w:rPr>
        <w:lastRenderedPageBreak/>
        <w:drawing>
          <wp:inline distT="0" distB="0" distL="0" distR="0">
            <wp:extent cx="5715000" cy="3464718"/>
            <wp:effectExtent l="0" t="0" r="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A0F1F" w:rsidRDefault="00EA0F1F">
      <w:pPr>
        <w:rPr>
          <w:rFonts w:ascii="Sylfaen" w:hAnsi="Sylfaen" w:cs="Sylfaen"/>
          <w:b/>
          <w:noProof/>
          <w:color w:val="FF0000"/>
          <w:sz w:val="28"/>
          <w:szCs w:val="28"/>
        </w:rPr>
      </w:pPr>
      <w:r>
        <w:rPr>
          <w:rFonts w:ascii="Sylfaen" w:hAnsi="Sylfaen" w:cs="Sylfaen"/>
          <w:b/>
          <w:noProof/>
          <w:color w:val="FF0000"/>
          <w:sz w:val="28"/>
          <w:szCs w:val="28"/>
        </w:rPr>
        <w:br w:type="page"/>
      </w:r>
    </w:p>
    <w:p w:rsidR="00F9595A" w:rsidRPr="00F9595A" w:rsidRDefault="00F9595A" w:rsidP="00F9595A">
      <w:pPr>
        <w:spacing w:after="0"/>
        <w:ind w:firstLine="709"/>
        <w:jc w:val="center"/>
        <w:rPr>
          <w:rFonts w:ascii="Sylfaen" w:eastAsia="Times New Roman" w:hAnsi="Sylfaen" w:cs="Sylfaen"/>
          <w:b/>
          <w:sz w:val="24"/>
          <w:szCs w:val="24"/>
          <w:lang w:val="ka-GE"/>
        </w:rPr>
      </w:pPr>
      <w:r w:rsidRPr="00F9595A">
        <w:rPr>
          <w:rFonts w:ascii="Sylfaen" w:eastAsia="Times New Roman" w:hAnsi="Sylfaen" w:cs="Times New Roman"/>
          <w:b/>
          <w:sz w:val="24"/>
          <w:szCs w:val="24"/>
        </w:rPr>
        <w:lastRenderedPageBreak/>
        <w:t>201</w:t>
      </w:r>
      <w:r w:rsidR="009D24D1">
        <w:rPr>
          <w:rFonts w:ascii="Sylfaen" w:eastAsia="Times New Roman" w:hAnsi="Sylfaen" w:cs="Times New Roman"/>
          <w:b/>
          <w:sz w:val="24"/>
          <w:szCs w:val="24"/>
        </w:rPr>
        <w:t>6</w:t>
      </w:r>
      <w:r w:rsidRPr="00F9595A">
        <w:rPr>
          <w:rFonts w:ascii="Sylfaen" w:eastAsia="Times New Roman" w:hAnsi="Sylfaen" w:cs="Times New Roman"/>
          <w:b/>
          <w:sz w:val="24"/>
          <w:szCs w:val="24"/>
          <w:lang w:val="ka-GE"/>
        </w:rPr>
        <w:t xml:space="preserve"> </w:t>
      </w:r>
      <w:r w:rsidRPr="00F9595A">
        <w:rPr>
          <w:rFonts w:ascii="Sylfaen" w:eastAsia="Times New Roman" w:hAnsi="Sylfaen" w:cs="Sylfaen"/>
          <w:b/>
          <w:sz w:val="24"/>
          <w:szCs w:val="24"/>
        </w:rPr>
        <w:t>წლის</w:t>
      </w:r>
      <w:r w:rsidRPr="00F9595A">
        <w:rPr>
          <w:rFonts w:ascii="Sylfaen" w:eastAsia="Times New Roman" w:hAnsi="Sylfaen" w:cs="AcadMtavr"/>
          <w:b/>
          <w:sz w:val="24"/>
          <w:szCs w:val="24"/>
        </w:rPr>
        <w:t xml:space="preserve"> </w:t>
      </w:r>
      <w:r w:rsidRPr="00F9595A">
        <w:rPr>
          <w:rFonts w:ascii="Sylfaen" w:eastAsia="Times New Roman" w:hAnsi="Sylfaen" w:cs="Sylfaen"/>
          <w:b/>
          <w:sz w:val="24"/>
          <w:szCs w:val="24"/>
        </w:rPr>
        <w:t>ძირითადი</w:t>
      </w:r>
      <w:r w:rsidRPr="00F9595A">
        <w:rPr>
          <w:rFonts w:ascii="Sylfaen" w:eastAsia="Times New Roman" w:hAnsi="Sylfaen" w:cs="AcadMtavr"/>
          <w:b/>
          <w:sz w:val="24"/>
          <w:szCs w:val="24"/>
        </w:rPr>
        <w:t xml:space="preserve"> </w:t>
      </w:r>
      <w:r w:rsidRPr="00F9595A">
        <w:rPr>
          <w:rFonts w:ascii="Sylfaen" w:eastAsia="Times New Roman" w:hAnsi="Sylfaen" w:cs="Sylfaen"/>
          <w:b/>
          <w:sz w:val="24"/>
          <w:szCs w:val="24"/>
        </w:rPr>
        <w:t>დემოგრაფიული</w:t>
      </w:r>
      <w:r w:rsidRPr="00F9595A">
        <w:rPr>
          <w:rFonts w:ascii="Sylfaen" w:eastAsia="Times New Roman" w:hAnsi="Sylfaen" w:cs="AcadMtavr"/>
          <w:b/>
          <w:sz w:val="24"/>
          <w:szCs w:val="24"/>
        </w:rPr>
        <w:t xml:space="preserve"> </w:t>
      </w:r>
      <w:r w:rsidRPr="00F9595A">
        <w:rPr>
          <w:rFonts w:ascii="Sylfaen" w:eastAsia="Times New Roman" w:hAnsi="Sylfaen" w:cs="Sylfaen"/>
          <w:b/>
          <w:sz w:val="24"/>
          <w:szCs w:val="24"/>
        </w:rPr>
        <w:t>მაჩვენებლები</w:t>
      </w:r>
    </w:p>
    <w:p w:rsidR="00E349F7" w:rsidRPr="00AA041B" w:rsidRDefault="00E349F7" w:rsidP="00E349F7">
      <w:pPr>
        <w:spacing w:after="0"/>
        <w:ind w:firstLine="709"/>
        <w:jc w:val="both"/>
        <w:rPr>
          <w:rFonts w:ascii="Sylfaen" w:eastAsia="Times New Roman" w:hAnsi="Sylfaen" w:cs="Sylfaen"/>
          <w:b/>
          <w:color w:val="FF0000"/>
        </w:rPr>
      </w:pPr>
    </w:p>
    <w:p w:rsidR="00F9595A" w:rsidRDefault="00F9595A" w:rsidP="007F668F">
      <w:pPr>
        <w:spacing w:after="120" w:line="312" w:lineRule="auto"/>
        <w:ind w:left="-567"/>
        <w:jc w:val="both"/>
        <w:rPr>
          <w:rFonts w:ascii="Sylfaen" w:eastAsia="Times New Roman" w:hAnsi="Sylfaen" w:cs="Sylfaen"/>
          <w:b/>
          <w:lang w:val="ka-GE"/>
        </w:rPr>
      </w:pPr>
      <w:r>
        <w:rPr>
          <w:rFonts w:ascii="Sylfaen" w:eastAsia="Times New Roman" w:hAnsi="Sylfaen" w:cs="Sylfaen"/>
          <w:b/>
        </w:rPr>
        <w:t>შობადობა</w:t>
      </w:r>
    </w:p>
    <w:p w:rsidR="009D24D1" w:rsidRPr="007D492C" w:rsidRDefault="009D24D1" w:rsidP="007F668F">
      <w:pPr>
        <w:spacing w:after="0" w:line="312" w:lineRule="auto"/>
        <w:ind w:left="-567"/>
        <w:jc w:val="both"/>
        <w:rPr>
          <w:rFonts w:ascii="Sylfaen" w:eastAsia="Times New Roman" w:hAnsi="Sylfaen" w:cs="AcadMtavr"/>
          <w:lang w:val="ka-GE"/>
        </w:rPr>
      </w:pPr>
      <w:r w:rsidRPr="00315D35">
        <w:rPr>
          <w:rFonts w:ascii="Sylfaen" w:eastAsia="Times New Roman" w:hAnsi="Sylfaen" w:cs="Times New Roman"/>
        </w:rPr>
        <w:t>201</w:t>
      </w:r>
      <w:r>
        <w:rPr>
          <w:rFonts w:ascii="Sylfaen" w:eastAsia="Times New Roman" w:hAnsi="Sylfaen" w:cs="Times New Roman"/>
        </w:rPr>
        <w:t>6</w:t>
      </w:r>
      <w:r w:rsidRPr="00315D35">
        <w:rPr>
          <w:rFonts w:ascii="Sylfaen" w:eastAsia="Times New Roman" w:hAnsi="Sylfaen" w:cs="Times New Roman"/>
        </w:rPr>
        <w:t xml:space="preserve"> </w:t>
      </w:r>
      <w:r w:rsidRPr="00315D35">
        <w:rPr>
          <w:rFonts w:ascii="Sylfaen" w:eastAsia="Times New Roman" w:hAnsi="Sylfaen" w:cs="Sylfaen"/>
        </w:rPr>
        <w:t>წელს</w:t>
      </w:r>
      <w:r w:rsidRPr="00315D35">
        <w:rPr>
          <w:rFonts w:ascii="Sylfaen" w:eastAsia="Times New Roman" w:hAnsi="Sylfaen" w:cs="AcadMtavr"/>
        </w:rPr>
        <w:t xml:space="preserve"> </w:t>
      </w:r>
      <w:r w:rsidRPr="00315D35">
        <w:rPr>
          <w:rFonts w:ascii="Sylfaen" w:eastAsia="Times New Roman" w:hAnsi="Sylfaen" w:cs="Sylfaen"/>
        </w:rPr>
        <w:t>ცოცხლა</w:t>
      </w:r>
      <w:r w:rsidRPr="00315D35">
        <w:rPr>
          <w:rFonts w:ascii="Sylfaen" w:eastAsia="Times New Roman" w:hAnsi="Sylfaen" w:cs="Sylfaen"/>
          <w:lang w:val="ka-GE"/>
        </w:rPr>
        <w:t xml:space="preserve">დ </w:t>
      </w:r>
      <w:r w:rsidRPr="00315D35">
        <w:rPr>
          <w:rFonts w:ascii="Sylfaen" w:eastAsia="Times New Roman" w:hAnsi="Sylfaen" w:cs="Sylfaen"/>
        </w:rPr>
        <w:t>დაბადებულთა</w:t>
      </w:r>
      <w:r w:rsidRPr="00315D35">
        <w:rPr>
          <w:rFonts w:ascii="Sylfaen" w:eastAsia="Times New Roman" w:hAnsi="Sylfaen" w:cs="AcadMtavr"/>
        </w:rPr>
        <w:t xml:space="preserve"> </w:t>
      </w:r>
      <w:r w:rsidRPr="00315D35">
        <w:rPr>
          <w:rFonts w:ascii="Sylfaen" w:eastAsia="Times New Roman" w:hAnsi="Sylfaen" w:cs="Sylfaen"/>
        </w:rPr>
        <w:t>რ</w:t>
      </w:r>
      <w:r>
        <w:rPr>
          <w:rFonts w:ascii="Sylfaen" w:eastAsia="Times New Roman" w:hAnsi="Sylfaen" w:cs="Sylfaen"/>
          <w:lang w:val="ka-GE"/>
        </w:rPr>
        <w:t>იცხოვ</w:t>
      </w:r>
      <w:r w:rsidRPr="00315D35">
        <w:rPr>
          <w:rFonts w:ascii="Sylfaen" w:eastAsia="Times New Roman" w:hAnsi="Sylfaen" w:cs="Sylfaen"/>
        </w:rPr>
        <w:t>ნობა</w:t>
      </w:r>
      <w:r>
        <w:rPr>
          <w:rFonts w:ascii="Sylfaen" w:eastAsia="Times New Roman" w:hAnsi="Sylfaen" w:cs="Sylfaen"/>
          <w:lang w:val="ka-GE"/>
        </w:rPr>
        <w:t>მ</w:t>
      </w:r>
      <w:r w:rsidRPr="00315D35">
        <w:rPr>
          <w:rFonts w:ascii="Sylfaen" w:eastAsia="Times New Roman" w:hAnsi="Sylfaen" w:cs="Sylfaen"/>
        </w:rPr>
        <w:t xml:space="preserve"> შეადგინა</w:t>
      </w:r>
      <w:r>
        <w:rPr>
          <w:rFonts w:ascii="Sylfaen" w:eastAsia="Times New Roman" w:hAnsi="Sylfaen" w:cs="Sylfaen"/>
          <w:lang w:val="ka-GE"/>
        </w:rPr>
        <w:t xml:space="preserve"> </w:t>
      </w:r>
      <w:r>
        <w:rPr>
          <w:rFonts w:ascii="Sylfaen" w:eastAsia="Times New Roman" w:hAnsi="Sylfaen" w:cs="AcadMtavr"/>
        </w:rPr>
        <w:t>56 569</w:t>
      </w:r>
      <w:r>
        <w:rPr>
          <w:rFonts w:ascii="Sylfaen" w:eastAsia="Times New Roman" w:hAnsi="Sylfaen" w:cs="AcadMtavr"/>
          <w:lang w:val="ka-GE"/>
        </w:rPr>
        <w:t xml:space="preserve"> </w:t>
      </w:r>
      <w:r>
        <w:rPr>
          <w:rFonts w:ascii="Sylfaen" w:eastAsia="Times New Roman" w:hAnsi="Sylfaen" w:cs="Sylfaen"/>
          <w:lang w:val="ka-GE"/>
        </w:rPr>
        <w:t>(</w:t>
      </w:r>
      <w:r>
        <w:rPr>
          <w:rFonts w:ascii="Sylfaen" w:eastAsia="Times New Roman" w:hAnsi="Sylfaen" w:cs="Sylfaen"/>
        </w:rPr>
        <w:t xml:space="preserve">28 887 </w:t>
      </w:r>
      <w:r w:rsidRPr="00315D35">
        <w:rPr>
          <w:rFonts w:ascii="Sylfaen" w:eastAsia="Times New Roman" w:hAnsi="Sylfaen" w:cs="Sylfaen"/>
          <w:lang w:val="ka-GE"/>
        </w:rPr>
        <w:t>ბიჭი</w:t>
      </w:r>
      <w:r w:rsidRPr="00315D35">
        <w:rPr>
          <w:rFonts w:ascii="Sylfaen" w:eastAsia="Times New Roman" w:hAnsi="Sylfaen" w:cs="Sylfaen"/>
        </w:rPr>
        <w:t xml:space="preserve"> </w:t>
      </w:r>
      <w:r>
        <w:rPr>
          <w:rFonts w:ascii="Sylfaen" w:eastAsia="Times New Roman" w:hAnsi="Sylfaen" w:cs="Sylfaen"/>
          <w:lang w:val="ka-GE"/>
        </w:rPr>
        <w:t xml:space="preserve"> და </w:t>
      </w:r>
      <w:r>
        <w:rPr>
          <w:rFonts w:ascii="Sylfaen" w:eastAsia="Times New Roman" w:hAnsi="Sylfaen" w:cs="Sylfaen"/>
        </w:rPr>
        <w:t xml:space="preserve">27 682 </w:t>
      </w:r>
      <w:r w:rsidRPr="00315D35">
        <w:rPr>
          <w:rFonts w:ascii="Sylfaen" w:eastAsia="Times New Roman" w:hAnsi="Sylfaen" w:cs="Sylfaen"/>
          <w:lang w:val="ka-GE"/>
        </w:rPr>
        <w:t>გოგო</w:t>
      </w:r>
      <w:r>
        <w:rPr>
          <w:rFonts w:ascii="Sylfaen" w:eastAsia="Times New Roman" w:hAnsi="Sylfaen" w:cs="Sylfaen"/>
          <w:lang w:val="ka-GE"/>
        </w:rPr>
        <w:t>)</w:t>
      </w:r>
      <w:r>
        <w:rPr>
          <w:rFonts w:ascii="Sylfaen" w:eastAsia="Times New Roman" w:hAnsi="Sylfaen" w:cs="AcadMtavr"/>
          <w:lang w:val="ka-GE"/>
        </w:rPr>
        <w:t xml:space="preserve"> რაც </w:t>
      </w:r>
      <w:r w:rsidRPr="00315D35">
        <w:rPr>
          <w:rFonts w:ascii="Sylfaen" w:eastAsia="Times New Roman" w:hAnsi="Sylfaen" w:cs="Sylfaen"/>
        </w:rPr>
        <w:t>წინა</w:t>
      </w:r>
      <w:r w:rsidRPr="00315D35">
        <w:rPr>
          <w:rFonts w:ascii="Sylfaen" w:eastAsia="Times New Roman" w:hAnsi="Sylfaen" w:cs="AcadMtavr"/>
        </w:rPr>
        <w:t xml:space="preserve"> </w:t>
      </w:r>
      <w:r w:rsidRPr="00315D35">
        <w:rPr>
          <w:rFonts w:ascii="Sylfaen" w:eastAsia="Times New Roman" w:hAnsi="Sylfaen" w:cs="Sylfaen"/>
        </w:rPr>
        <w:t>წელთან</w:t>
      </w:r>
      <w:r w:rsidRPr="00315D35">
        <w:rPr>
          <w:rFonts w:ascii="Sylfaen" w:eastAsia="Times New Roman" w:hAnsi="Sylfaen" w:cs="AcadMtavr"/>
        </w:rPr>
        <w:t xml:space="preserve"> </w:t>
      </w:r>
      <w:r w:rsidRPr="00315D35">
        <w:rPr>
          <w:rFonts w:ascii="Sylfaen" w:eastAsia="Times New Roman" w:hAnsi="Sylfaen" w:cs="Sylfaen"/>
        </w:rPr>
        <w:t>შედარებით</w:t>
      </w:r>
      <w:r w:rsidRPr="00315D35">
        <w:rPr>
          <w:rFonts w:ascii="Sylfaen" w:eastAsia="Times New Roman" w:hAnsi="Sylfaen" w:cs="AcadMtavr"/>
        </w:rPr>
        <w:t xml:space="preserve"> </w:t>
      </w:r>
      <w:r>
        <w:rPr>
          <w:rFonts w:ascii="Sylfaen" w:eastAsia="Times New Roman" w:hAnsi="Sylfaen" w:cs="AcadMtavr"/>
        </w:rPr>
        <w:t>4,5</w:t>
      </w:r>
      <w:r w:rsidRPr="00315D35">
        <w:rPr>
          <w:rFonts w:ascii="Sylfaen" w:eastAsia="Times New Roman" w:hAnsi="Sylfaen" w:cs="AcadMtavr"/>
        </w:rPr>
        <w:t xml:space="preserve"> </w:t>
      </w:r>
      <w:r w:rsidRPr="00315D35">
        <w:rPr>
          <w:rFonts w:ascii="Sylfaen" w:eastAsia="Times New Roman" w:hAnsi="Sylfaen" w:cs="Sylfaen"/>
        </w:rPr>
        <w:t>პროცენტით</w:t>
      </w:r>
      <w:r w:rsidRPr="00315D35">
        <w:rPr>
          <w:rFonts w:ascii="Sylfaen" w:eastAsia="Times New Roman" w:hAnsi="Sylfaen" w:cs="AcadMtavr"/>
        </w:rPr>
        <w:t xml:space="preserve"> </w:t>
      </w:r>
      <w:r w:rsidRPr="00315D35">
        <w:rPr>
          <w:rFonts w:ascii="Sylfaen" w:eastAsia="Times New Roman" w:hAnsi="Sylfaen" w:cs="AcadMtavr"/>
          <w:lang w:val="ka-GE"/>
        </w:rPr>
        <w:t xml:space="preserve"> </w:t>
      </w:r>
      <w:r>
        <w:rPr>
          <w:rFonts w:ascii="Sylfaen" w:eastAsia="Times New Roman" w:hAnsi="Sylfaen" w:cs="AcadMtavr"/>
          <w:lang w:val="ka-GE"/>
        </w:rPr>
        <w:t xml:space="preserve">ნაკლებია.   </w:t>
      </w:r>
    </w:p>
    <w:p w:rsidR="00E349F7" w:rsidRPr="00AA041B" w:rsidRDefault="00E349F7" w:rsidP="007F668F">
      <w:pPr>
        <w:spacing w:after="0" w:line="312" w:lineRule="auto"/>
        <w:ind w:firstLine="709"/>
        <w:jc w:val="both"/>
        <w:rPr>
          <w:rFonts w:ascii="Sylfaen" w:eastAsia="Times New Roman" w:hAnsi="Sylfaen" w:cs="AcadMtavr"/>
          <w:color w:val="FF0000"/>
          <w:lang w:val="ka-GE"/>
        </w:rPr>
      </w:pPr>
    </w:p>
    <w:p w:rsidR="00E349F7" w:rsidRPr="00E45F85" w:rsidRDefault="00E349F7" w:rsidP="007F668F">
      <w:pPr>
        <w:spacing w:after="0" w:line="312" w:lineRule="auto"/>
        <w:ind w:left="-284"/>
        <w:rPr>
          <w:rFonts w:ascii="Sylfaen" w:hAnsi="Sylfaen"/>
          <w:noProof/>
          <w:lang w:val="ka-GE"/>
        </w:rPr>
      </w:pPr>
      <w:r w:rsidRPr="00E45F85">
        <w:rPr>
          <w:rFonts w:ascii="Sylfaen" w:hAnsi="Sylfaen" w:cs="Sylfaen"/>
          <w:noProof/>
        </w:rPr>
        <w:t xml:space="preserve">დიაგრამა </w:t>
      </w:r>
      <w:r w:rsidRPr="00E45F85">
        <w:rPr>
          <w:rFonts w:ascii="Sylfaen" w:hAnsi="Sylfaen"/>
          <w:noProof/>
        </w:rPr>
        <w:t>1</w:t>
      </w:r>
    </w:p>
    <w:p w:rsidR="00E349F7" w:rsidRPr="00AA041B" w:rsidRDefault="009D24D1" w:rsidP="007F668F">
      <w:pPr>
        <w:spacing w:after="0" w:line="312" w:lineRule="auto"/>
        <w:ind w:left="-284"/>
        <w:jc w:val="both"/>
        <w:rPr>
          <w:rFonts w:ascii="Sylfaen" w:eastAsia="Times New Roman" w:hAnsi="Sylfaen" w:cs="Times New Roman"/>
          <w:color w:val="FF0000"/>
          <w:lang w:val="ka-GE"/>
        </w:rPr>
      </w:pPr>
      <w:r w:rsidRPr="009D24D1">
        <w:rPr>
          <w:rFonts w:ascii="Sylfaen" w:hAnsi="Sylfaen"/>
          <w:noProof/>
          <w:color w:val="FF0000"/>
        </w:rPr>
        <w:drawing>
          <wp:inline distT="0" distB="0" distL="0" distR="0">
            <wp:extent cx="5713840" cy="2313830"/>
            <wp:effectExtent l="1905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E349F7" w:rsidRPr="00AA041B">
        <w:rPr>
          <w:rFonts w:ascii="Sylfaen" w:eastAsia="Times New Roman" w:hAnsi="Sylfaen" w:cs="Sylfaen"/>
          <w:color w:val="FF0000"/>
          <w:lang w:val="ka-GE"/>
        </w:rPr>
        <w:tab/>
      </w:r>
    </w:p>
    <w:p w:rsidR="00CD6EFB" w:rsidRPr="00AA041B" w:rsidRDefault="00CD6EFB" w:rsidP="007F668F">
      <w:pPr>
        <w:spacing w:after="0" w:line="312" w:lineRule="auto"/>
        <w:ind w:firstLine="709"/>
        <w:jc w:val="both"/>
        <w:rPr>
          <w:rFonts w:ascii="Sylfaen" w:eastAsia="Times New Roman" w:hAnsi="Sylfaen" w:cs="Times New Roman"/>
          <w:b/>
          <w:color w:val="FF0000"/>
        </w:rPr>
      </w:pPr>
    </w:p>
    <w:p w:rsidR="00D52040" w:rsidRDefault="00D52040" w:rsidP="007F668F">
      <w:pPr>
        <w:spacing w:after="120" w:line="312" w:lineRule="auto"/>
        <w:ind w:left="-567"/>
        <w:jc w:val="both"/>
        <w:rPr>
          <w:rFonts w:ascii="Sylfaen" w:eastAsia="Times New Roman" w:hAnsi="Sylfaen" w:cs="Times New Roman"/>
          <w:b/>
          <w:lang w:val="ka-GE"/>
        </w:rPr>
      </w:pPr>
      <w:r w:rsidRPr="0074463F">
        <w:rPr>
          <w:rFonts w:ascii="Sylfaen" w:eastAsia="Times New Roman" w:hAnsi="Sylfaen" w:cs="Times New Roman"/>
          <w:b/>
        </w:rPr>
        <w:t>გარდაცვალება</w:t>
      </w:r>
    </w:p>
    <w:p w:rsidR="00E00D07" w:rsidRDefault="00E00D07" w:rsidP="007F668F">
      <w:pPr>
        <w:spacing w:after="0" w:line="312" w:lineRule="auto"/>
        <w:ind w:left="-567"/>
        <w:jc w:val="both"/>
        <w:rPr>
          <w:rFonts w:ascii="Sylfaen" w:eastAsia="Times New Roman" w:hAnsi="Sylfaen" w:cs="Times New Roman"/>
          <w:lang w:val="ka-GE"/>
        </w:rPr>
      </w:pPr>
      <w:r>
        <w:rPr>
          <w:rFonts w:ascii="Sylfaen" w:eastAsia="Times New Roman" w:hAnsi="Sylfaen" w:cs="Times New Roman"/>
        </w:rPr>
        <w:t>201</w:t>
      </w:r>
      <w:r>
        <w:rPr>
          <w:rFonts w:ascii="Sylfaen" w:eastAsia="Times New Roman" w:hAnsi="Sylfaen" w:cs="Times New Roman"/>
          <w:lang w:val="ka-GE"/>
        </w:rPr>
        <w:t>6</w:t>
      </w:r>
      <w:r w:rsidRPr="0074463F">
        <w:rPr>
          <w:rFonts w:ascii="Sylfaen" w:eastAsia="Times New Roman" w:hAnsi="Sylfaen" w:cs="Times New Roman"/>
        </w:rPr>
        <w:t xml:space="preserve"> </w:t>
      </w:r>
      <w:r>
        <w:rPr>
          <w:rFonts w:ascii="Sylfaen" w:eastAsia="Times New Roman" w:hAnsi="Sylfaen" w:cs="Times New Roman"/>
        </w:rPr>
        <w:t xml:space="preserve">წელს გარდაცვლილთა </w:t>
      </w:r>
      <w:r>
        <w:rPr>
          <w:rFonts w:ascii="Sylfaen" w:eastAsia="Times New Roman" w:hAnsi="Sylfaen" w:cs="Times New Roman"/>
          <w:lang w:val="ka-GE"/>
        </w:rPr>
        <w:t>რიცხოვნობა</w:t>
      </w:r>
      <w:r>
        <w:rPr>
          <w:rFonts w:ascii="Sylfaen" w:eastAsia="Times New Roman" w:hAnsi="Sylfaen" w:cs="Times New Roman"/>
        </w:rPr>
        <w:t xml:space="preserve"> 201</w:t>
      </w:r>
      <w:r>
        <w:rPr>
          <w:rFonts w:ascii="Sylfaen" w:eastAsia="Times New Roman" w:hAnsi="Sylfaen" w:cs="Times New Roman"/>
          <w:lang w:val="ka-GE"/>
        </w:rPr>
        <w:t>5</w:t>
      </w:r>
      <w:r w:rsidRPr="0074463F">
        <w:rPr>
          <w:rFonts w:ascii="Sylfaen" w:eastAsia="Times New Roman" w:hAnsi="Sylfaen" w:cs="Times New Roman"/>
        </w:rPr>
        <w:t xml:space="preserve"> წელთან შედარებით </w:t>
      </w:r>
      <w:r>
        <w:rPr>
          <w:rFonts w:ascii="Sylfaen" w:eastAsia="Times New Roman" w:hAnsi="Sylfaen" w:cs="Times New Roman"/>
          <w:lang w:val="ka-GE"/>
        </w:rPr>
        <w:t>3,4 პროცენტით</w:t>
      </w:r>
      <w:r w:rsidRPr="0074463F">
        <w:rPr>
          <w:rFonts w:ascii="Sylfaen" w:eastAsia="Times New Roman" w:hAnsi="Sylfaen" w:cs="Times New Roman"/>
        </w:rPr>
        <w:t xml:space="preserve"> </w:t>
      </w:r>
      <w:r>
        <w:rPr>
          <w:rFonts w:ascii="Sylfaen" w:eastAsia="Times New Roman" w:hAnsi="Sylfaen" w:cs="Times New Roman"/>
          <w:lang w:val="ka-GE"/>
        </w:rPr>
        <w:t>გაიზარდა</w:t>
      </w:r>
      <w:r w:rsidRPr="0074463F">
        <w:rPr>
          <w:rFonts w:ascii="Sylfaen" w:eastAsia="Times New Roman" w:hAnsi="Sylfaen" w:cs="Times New Roman"/>
        </w:rPr>
        <w:t xml:space="preserve"> და </w:t>
      </w:r>
      <w:r>
        <w:rPr>
          <w:rFonts w:ascii="Sylfaen" w:eastAsia="Times New Roman" w:hAnsi="Sylfaen" w:cs="Times New Roman"/>
          <w:lang w:val="ka-GE"/>
        </w:rPr>
        <w:t xml:space="preserve">50 771 </w:t>
      </w:r>
      <w:r w:rsidRPr="0074463F">
        <w:rPr>
          <w:rFonts w:ascii="Sylfaen" w:eastAsia="Times New Roman" w:hAnsi="Sylfaen" w:cs="Times New Roman"/>
        </w:rPr>
        <w:t xml:space="preserve"> შეადგინა</w:t>
      </w:r>
      <w:r>
        <w:rPr>
          <w:rFonts w:ascii="Sylfaen" w:eastAsia="Times New Roman" w:hAnsi="Sylfaen" w:cs="Times New Roman"/>
          <w:lang w:val="ka-GE"/>
        </w:rPr>
        <w:t xml:space="preserve">. </w:t>
      </w:r>
      <w:r w:rsidRPr="0074463F">
        <w:rPr>
          <w:rFonts w:ascii="Sylfaen" w:eastAsia="Times New Roman" w:hAnsi="Sylfaen" w:cs="Times New Roman"/>
        </w:rPr>
        <w:t xml:space="preserve"> </w:t>
      </w:r>
    </w:p>
    <w:p w:rsidR="00E349F7" w:rsidRPr="00AA041B" w:rsidRDefault="00E349F7" w:rsidP="007F668F">
      <w:pPr>
        <w:spacing w:after="0" w:line="312" w:lineRule="auto"/>
        <w:ind w:firstLine="709"/>
        <w:jc w:val="both"/>
        <w:rPr>
          <w:rFonts w:ascii="Sylfaen" w:hAnsi="Sylfaen" w:cs="Sylfaen"/>
          <w:color w:val="FF0000"/>
          <w:lang w:val="ka-GE"/>
        </w:rPr>
      </w:pPr>
    </w:p>
    <w:p w:rsidR="00E349F7" w:rsidRPr="00E45F85" w:rsidRDefault="00E349F7" w:rsidP="007F668F">
      <w:pPr>
        <w:spacing w:after="0" w:line="312" w:lineRule="auto"/>
        <w:ind w:left="-284"/>
        <w:rPr>
          <w:rFonts w:ascii="Sylfaen" w:hAnsi="Sylfaen"/>
        </w:rPr>
      </w:pPr>
      <w:r w:rsidRPr="00E45F85">
        <w:rPr>
          <w:rFonts w:ascii="Sylfaen" w:hAnsi="Sylfaen" w:cs="Sylfaen"/>
        </w:rPr>
        <w:t xml:space="preserve">დიაგრამა </w:t>
      </w:r>
      <w:r w:rsidRPr="00E45F85">
        <w:rPr>
          <w:rFonts w:ascii="Sylfaen" w:hAnsi="Sylfaen"/>
        </w:rPr>
        <w:t>2</w:t>
      </w:r>
    </w:p>
    <w:p w:rsidR="00E349F7" w:rsidRPr="00AA041B" w:rsidRDefault="00952107" w:rsidP="007F668F">
      <w:pPr>
        <w:spacing w:after="0" w:line="312" w:lineRule="auto"/>
        <w:ind w:left="-284"/>
        <w:jc w:val="both"/>
        <w:rPr>
          <w:rFonts w:ascii="Sylfaen" w:eastAsia="Times New Roman" w:hAnsi="Sylfaen" w:cs="Times New Roman"/>
          <w:color w:val="FF0000"/>
        </w:rPr>
      </w:pPr>
      <w:r w:rsidRPr="00952107">
        <w:rPr>
          <w:rFonts w:ascii="Sylfaen" w:eastAsia="Times New Roman" w:hAnsi="Sylfaen" w:cs="Times New Roman"/>
          <w:noProof/>
          <w:color w:val="FF0000"/>
        </w:rPr>
        <w:drawing>
          <wp:inline distT="0" distB="0" distL="0" distR="0">
            <wp:extent cx="5753597" cy="2584174"/>
            <wp:effectExtent l="19050" t="0" r="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D6EFB" w:rsidRPr="00AA041B" w:rsidRDefault="00CD6EFB" w:rsidP="007F668F">
      <w:pPr>
        <w:spacing w:after="0" w:line="312" w:lineRule="auto"/>
        <w:ind w:firstLine="709"/>
        <w:jc w:val="both"/>
        <w:rPr>
          <w:rFonts w:ascii="Sylfaen" w:eastAsia="Times New Roman" w:hAnsi="Sylfaen" w:cs="Times New Roman"/>
          <w:color w:val="FF0000"/>
        </w:rPr>
      </w:pPr>
    </w:p>
    <w:p w:rsidR="00D52040" w:rsidRDefault="00D52040" w:rsidP="007F668F">
      <w:pPr>
        <w:spacing w:after="0" w:line="312" w:lineRule="auto"/>
        <w:ind w:firstLine="709"/>
        <w:rPr>
          <w:rFonts w:ascii="Sylfaen" w:eastAsia="Times New Roman" w:hAnsi="Sylfaen" w:cs="Times New Roman"/>
          <w:b/>
        </w:rPr>
      </w:pPr>
    </w:p>
    <w:p w:rsidR="00952107" w:rsidRDefault="00952107" w:rsidP="007F668F">
      <w:pPr>
        <w:spacing w:after="120" w:line="312" w:lineRule="auto"/>
        <w:ind w:left="-567"/>
        <w:jc w:val="both"/>
        <w:rPr>
          <w:rFonts w:ascii="Sylfaen" w:eastAsia="Times New Roman" w:hAnsi="Sylfaen" w:cs="Times New Roman"/>
          <w:b/>
        </w:rPr>
      </w:pPr>
    </w:p>
    <w:p w:rsidR="00952107" w:rsidRDefault="00952107" w:rsidP="007F668F">
      <w:pPr>
        <w:spacing w:after="120" w:line="312" w:lineRule="auto"/>
        <w:ind w:left="-567"/>
        <w:jc w:val="both"/>
        <w:rPr>
          <w:rFonts w:ascii="Sylfaen" w:eastAsia="Times New Roman" w:hAnsi="Sylfaen" w:cs="Times New Roman"/>
          <w:b/>
        </w:rPr>
      </w:pPr>
    </w:p>
    <w:p w:rsidR="00952107" w:rsidRDefault="00952107" w:rsidP="007F668F">
      <w:pPr>
        <w:spacing w:after="120" w:line="312" w:lineRule="auto"/>
        <w:ind w:left="-567"/>
        <w:jc w:val="both"/>
        <w:rPr>
          <w:rFonts w:ascii="Sylfaen" w:eastAsia="Times New Roman" w:hAnsi="Sylfaen" w:cs="Times New Roman"/>
          <w:b/>
        </w:rPr>
      </w:pPr>
    </w:p>
    <w:p w:rsidR="00952107" w:rsidRDefault="00D52040" w:rsidP="007F668F">
      <w:pPr>
        <w:spacing w:after="120" w:line="312" w:lineRule="auto"/>
        <w:ind w:left="-567"/>
        <w:jc w:val="both"/>
        <w:rPr>
          <w:rFonts w:ascii="Sylfaen" w:eastAsia="Times New Roman" w:hAnsi="Sylfaen" w:cs="Times New Roman"/>
          <w:b/>
        </w:rPr>
      </w:pPr>
      <w:r>
        <w:rPr>
          <w:rFonts w:ascii="Sylfaen" w:eastAsia="Times New Roman" w:hAnsi="Sylfaen" w:cs="Times New Roman"/>
          <w:b/>
          <w:lang w:val="ka-GE"/>
        </w:rPr>
        <w:t>ბ</w:t>
      </w:r>
      <w:r w:rsidRPr="00CB1FD8">
        <w:rPr>
          <w:rFonts w:ascii="Sylfaen" w:eastAsia="Times New Roman" w:hAnsi="Sylfaen" w:cs="Times New Roman"/>
          <w:b/>
          <w:lang w:val="ka-GE"/>
        </w:rPr>
        <w:t>უნებრივი</w:t>
      </w:r>
      <w:r w:rsidR="00952107">
        <w:rPr>
          <w:rFonts w:ascii="Sylfaen" w:eastAsia="Times New Roman" w:hAnsi="Sylfaen" w:cs="Times New Roman"/>
          <w:b/>
        </w:rPr>
        <w:t xml:space="preserve"> </w:t>
      </w:r>
      <w:r w:rsidRPr="00CB1FD8">
        <w:rPr>
          <w:rFonts w:ascii="Sylfaen" w:eastAsia="Times New Roman" w:hAnsi="Sylfaen" w:cs="Times New Roman"/>
          <w:b/>
          <w:lang w:val="ka-GE"/>
        </w:rPr>
        <w:t>მატება</w:t>
      </w:r>
    </w:p>
    <w:p w:rsidR="00952107" w:rsidRDefault="00D52040" w:rsidP="007F668F">
      <w:pPr>
        <w:spacing w:after="0" w:line="312" w:lineRule="auto"/>
        <w:ind w:left="-567"/>
        <w:jc w:val="both"/>
        <w:rPr>
          <w:rFonts w:ascii="Sylfaen" w:eastAsia="Times New Roman" w:hAnsi="Sylfaen" w:cs="Times New Roman"/>
        </w:rPr>
      </w:pPr>
      <w:r>
        <w:rPr>
          <w:rFonts w:ascii="Sylfaen" w:eastAsia="Times New Roman" w:hAnsi="Sylfaen" w:cs="Times New Roman"/>
          <w:b/>
          <w:lang w:val="ka-GE"/>
        </w:rPr>
        <w:t xml:space="preserve">                                                                                                                                                                                                                                                                                                                                                                                                                                                                                                                                                                                                                                                                                                                                                                                                                                                                                                                                                                                                                                                                                                                                                                                                                                                                                                                                                                                                                                                                                                                                                                                                                                                                                                                                                                                                                                                                                                                                                                                                                                                                                                                                                                                                                                                                                                                                                                                                                                                                                                                                                            </w:t>
      </w:r>
      <w:r w:rsidR="00952107" w:rsidRPr="00EC354C">
        <w:rPr>
          <w:rFonts w:ascii="Sylfaen" w:eastAsia="Times New Roman" w:hAnsi="Sylfaen" w:cs="Times New Roman"/>
          <w:lang w:val="ka-GE"/>
        </w:rPr>
        <w:t>201</w:t>
      </w:r>
      <w:r w:rsidR="00952107">
        <w:rPr>
          <w:rFonts w:ascii="Sylfaen" w:eastAsia="Times New Roman" w:hAnsi="Sylfaen" w:cs="Times New Roman"/>
          <w:lang w:val="ka-GE"/>
        </w:rPr>
        <w:t>5</w:t>
      </w:r>
      <w:r w:rsidR="00952107" w:rsidRPr="00EC354C">
        <w:rPr>
          <w:rFonts w:ascii="Sylfaen" w:eastAsia="Times New Roman" w:hAnsi="Sylfaen" w:cs="Times New Roman"/>
          <w:lang w:val="ka-GE"/>
        </w:rPr>
        <w:t xml:space="preserve"> წ</w:t>
      </w:r>
      <w:r w:rsidR="00952107">
        <w:rPr>
          <w:rFonts w:ascii="Sylfaen" w:eastAsia="Times New Roman" w:hAnsi="Sylfaen" w:cs="Times New Roman"/>
          <w:lang w:val="ka-GE"/>
        </w:rPr>
        <w:t>ლის</w:t>
      </w:r>
      <w:r w:rsidR="00952107" w:rsidRPr="00EC354C">
        <w:rPr>
          <w:rFonts w:ascii="Sylfaen" w:eastAsia="Times New Roman" w:hAnsi="Sylfaen" w:cs="Times New Roman"/>
          <w:lang w:val="ka-GE"/>
        </w:rPr>
        <w:t xml:space="preserve"> ბუნებრივ</w:t>
      </w:r>
      <w:r w:rsidR="00952107">
        <w:rPr>
          <w:rFonts w:ascii="Sylfaen" w:eastAsia="Times New Roman" w:hAnsi="Sylfaen" w:cs="Times New Roman"/>
          <w:lang w:val="ka-GE"/>
        </w:rPr>
        <w:t>ი</w:t>
      </w:r>
      <w:r w:rsidR="00952107" w:rsidRPr="00EC354C">
        <w:rPr>
          <w:rFonts w:ascii="Sylfaen" w:eastAsia="Times New Roman" w:hAnsi="Sylfaen" w:cs="Times New Roman"/>
          <w:lang w:val="ka-GE"/>
        </w:rPr>
        <w:t xml:space="preserve"> მატებ</w:t>
      </w:r>
      <w:r w:rsidR="00952107">
        <w:rPr>
          <w:rFonts w:ascii="Sylfaen" w:eastAsia="Times New Roman" w:hAnsi="Sylfaen" w:cs="Times New Roman"/>
          <w:lang w:val="ka-GE"/>
        </w:rPr>
        <w:t>ა (სხვაობა ცოცხლად დაბადებულთა და გარდაცვლილთა რაოდენობას შორის) წინა წელთან შედარებით 42,8 პროცენტით შემცირდა და 5 798</w:t>
      </w:r>
      <w:r w:rsidR="00952107" w:rsidRPr="00EC354C">
        <w:rPr>
          <w:rFonts w:ascii="Sylfaen" w:eastAsia="Times New Roman" w:hAnsi="Sylfaen" w:cs="Times New Roman"/>
          <w:lang w:val="ka-GE"/>
        </w:rPr>
        <w:t xml:space="preserve">  </w:t>
      </w:r>
      <w:r w:rsidR="00952107">
        <w:rPr>
          <w:rFonts w:ascii="Sylfaen" w:eastAsia="Times New Roman" w:hAnsi="Sylfaen" w:cs="Times New Roman"/>
          <w:lang w:val="ka-GE"/>
        </w:rPr>
        <w:t xml:space="preserve"> </w:t>
      </w:r>
      <w:r w:rsidR="00952107" w:rsidRPr="00EC354C">
        <w:rPr>
          <w:rFonts w:ascii="Sylfaen" w:eastAsia="Times New Roman" w:hAnsi="Sylfaen" w:cs="Times New Roman"/>
          <w:lang w:val="ka-GE"/>
        </w:rPr>
        <w:t>შეადგინ</w:t>
      </w:r>
      <w:r w:rsidR="00952107">
        <w:rPr>
          <w:rFonts w:ascii="Sylfaen" w:eastAsia="Times New Roman" w:hAnsi="Sylfaen" w:cs="Times New Roman"/>
          <w:lang w:val="ka-GE"/>
        </w:rPr>
        <w:t>ა.</w:t>
      </w:r>
    </w:p>
    <w:p w:rsidR="00E349F7" w:rsidRPr="00E45F85" w:rsidRDefault="00CD6EFB" w:rsidP="007F668F">
      <w:pPr>
        <w:spacing w:before="240" w:after="120" w:line="312" w:lineRule="auto"/>
        <w:ind w:left="-284"/>
        <w:rPr>
          <w:rFonts w:ascii="Sylfaen" w:eastAsia="Times New Roman" w:hAnsi="Sylfaen" w:cs="Times New Roman"/>
        </w:rPr>
      </w:pPr>
      <w:r w:rsidRPr="00E45F85">
        <w:rPr>
          <w:rFonts w:ascii="Sylfaen" w:eastAsia="Times New Roman" w:hAnsi="Sylfaen" w:cs="Times New Roman"/>
          <w:lang w:val="ka-GE"/>
        </w:rPr>
        <w:t xml:space="preserve">დიაგრამა </w:t>
      </w:r>
      <w:r w:rsidRPr="00E45F85">
        <w:rPr>
          <w:rFonts w:ascii="Sylfaen" w:eastAsia="Times New Roman" w:hAnsi="Sylfaen" w:cs="Times New Roman"/>
        </w:rPr>
        <w:t>3</w:t>
      </w:r>
    </w:p>
    <w:p w:rsidR="00E349F7" w:rsidRPr="00AA041B" w:rsidRDefault="00E349F7" w:rsidP="007F668F">
      <w:pPr>
        <w:spacing w:after="0" w:line="312" w:lineRule="auto"/>
        <w:ind w:firstLine="709"/>
        <w:rPr>
          <w:rFonts w:ascii="Sylfaen" w:eastAsia="Times New Roman" w:hAnsi="Sylfaen" w:cs="Times New Roman"/>
          <w:color w:val="FF0000"/>
          <w:lang w:val="ka-GE"/>
        </w:rPr>
      </w:pPr>
    </w:p>
    <w:p w:rsidR="00E349F7" w:rsidRPr="00AA041B" w:rsidRDefault="00952107" w:rsidP="007F668F">
      <w:pPr>
        <w:spacing w:after="0" w:line="312" w:lineRule="auto"/>
        <w:ind w:left="-284"/>
        <w:rPr>
          <w:rFonts w:ascii="Sylfaen" w:eastAsia="Times New Roman" w:hAnsi="Sylfaen" w:cs="Times New Roman"/>
          <w:color w:val="FF0000"/>
          <w:lang w:val="ka-GE"/>
        </w:rPr>
      </w:pPr>
      <w:r w:rsidRPr="00952107">
        <w:rPr>
          <w:rFonts w:ascii="Sylfaen" w:eastAsia="Times New Roman" w:hAnsi="Sylfaen" w:cs="Times New Roman"/>
          <w:b/>
          <w:noProof/>
          <w:color w:val="FF0000"/>
        </w:rPr>
        <w:drawing>
          <wp:inline distT="0" distB="0" distL="0" distR="0">
            <wp:extent cx="5715000" cy="2149544"/>
            <wp:effectExtent l="19050" t="0" r="0" b="0"/>
            <wp:docPr id="2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E349F7" w:rsidRPr="00AA041B">
        <w:rPr>
          <w:rFonts w:ascii="Sylfaen" w:eastAsia="Times New Roman" w:hAnsi="Sylfaen" w:cs="Times New Roman"/>
          <w:color w:val="FF0000"/>
          <w:lang w:val="ka-GE"/>
        </w:rPr>
        <w:tab/>
      </w:r>
    </w:p>
    <w:p w:rsidR="00E349F7" w:rsidRPr="00AA041B" w:rsidRDefault="00E349F7" w:rsidP="007F668F">
      <w:pPr>
        <w:spacing w:after="0" w:line="312" w:lineRule="auto"/>
        <w:rPr>
          <w:rFonts w:ascii="Sylfaen" w:eastAsia="Times New Roman" w:hAnsi="Sylfaen" w:cs="Times New Roman"/>
          <w:color w:val="FF0000"/>
          <w:lang w:val="ka-GE"/>
        </w:rPr>
      </w:pPr>
    </w:p>
    <w:p w:rsidR="00D52040" w:rsidRPr="00B96C0B" w:rsidRDefault="00D52040" w:rsidP="007F668F">
      <w:pPr>
        <w:spacing w:after="120" w:line="312" w:lineRule="auto"/>
        <w:ind w:left="-567"/>
        <w:rPr>
          <w:rFonts w:ascii="Sylfaen" w:eastAsia="Times New Roman" w:hAnsi="Sylfaen" w:cs="Times New Roman"/>
          <w:b/>
          <w:lang w:val="ka-GE"/>
        </w:rPr>
      </w:pPr>
      <w:r>
        <w:rPr>
          <w:rFonts w:ascii="Sylfaen" w:eastAsia="Times New Roman" w:hAnsi="Sylfaen" w:cs="Times New Roman"/>
          <w:b/>
          <w:lang w:val="ka-GE"/>
        </w:rPr>
        <w:t>ქ</w:t>
      </w:r>
      <w:r w:rsidRPr="0074463F">
        <w:rPr>
          <w:rFonts w:ascii="Sylfaen" w:eastAsia="Times New Roman" w:hAnsi="Sylfaen" w:cs="Times New Roman"/>
          <w:b/>
        </w:rPr>
        <w:t xml:space="preserve">ორწინება </w:t>
      </w:r>
      <w:r>
        <w:rPr>
          <w:rFonts w:ascii="Sylfaen" w:eastAsia="Times New Roman" w:hAnsi="Sylfaen" w:cs="Times New Roman"/>
          <w:b/>
        </w:rPr>
        <w:t xml:space="preserve"> </w:t>
      </w:r>
    </w:p>
    <w:p w:rsidR="00952107" w:rsidRPr="00B96C0B" w:rsidRDefault="00952107" w:rsidP="007F668F">
      <w:pPr>
        <w:spacing w:after="0" w:line="312" w:lineRule="auto"/>
        <w:ind w:left="-567"/>
        <w:jc w:val="both"/>
        <w:rPr>
          <w:rFonts w:ascii="Sylfaen" w:eastAsia="Times New Roman" w:hAnsi="Sylfaen" w:cs="Times New Roman"/>
          <w:lang w:val="ka-GE"/>
        </w:rPr>
      </w:pPr>
      <w:r>
        <w:rPr>
          <w:rFonts w:ascii="Sylfaen" w:eastAsia="Times New Roman" w:hAnsi="Sylfaen" w:cs="Times New Roman"/>
        </w:rPr>
        <w:t>201</w:t>
      </w:r>
      <w:r>
        <w:rPr>
          <w:rFonts w:ascii="Sylfaen" w:eastAsia="Times New Roman" w:hAnsi="Sylfaen" w:cs="Times New Roman"/>
          <w:lang w:val="ka-GE"/>
        </w:rPr>
        <w:t>6</w:t>
      </w:r>
      <w:r w:rsidRPr="0074463F">
        <w:rPr>
          <w:rFonts w:ascii="Sylfaen" w:eastAsia="Times New Roman" w:hAnsi="Sylfaen" w:cs="Times New Roman"/>
        </w:rPr>
        <w:t xml:space="preserve"> წელს რეგისტრირებული ქორწინებების რა</w:t>
      </w:r>
      <w:r>
        <w:rPr>
          <w:rFonts w:ascii="Sylfaen" w:eastAsia="Times New Roman" w:hAnsi="Sylfaen" w:cs="Times New Roman"/>
        </w:rPr>
        <w:t>ოდენობა წინა წელთან შედარებით 13,9</w:t>
      </w:r>
      <w:r w:rsidRPr="0074463F">
        <w:rPr>
          <w:rFonts w:ascii="Sylfaen" w:eastAsia="Times New Roman" w:hAnsi="Sylfaen" w:cs="Times New Roman"/>
        </w:rPr>
        <w:t xml:space="preserve"> პროცენტით </w:t>
      </w:r>
      <w:r>
        <w:rPr>
          <w:rFonts w:ascii="Sylfaen" w:eastAsia="Times New Roman" w:hAnsi="Sylfaen" w:cs="Times New Roman"/>
          <w:lang w:val="ka-GE"/>
        </w:rPr>
        <w:t>შემცირდა</w:t>
      </w:r>
      <w:r w:rsidRPr="0074463F">
        <w:rPr>
          <w:rFonts w:ascii="Sylfaen" w:eastAsia="Times New Roman" w:hAnsi="Sylfaen" w:cs="Times New Roman"/>
        </w:rPr>
        <w:t xml:space="preserve"> და </w:t>
      </w:r>
      <w:r>
        <w:rPr>
          <w:rFonts w:ascii="Sylfaen" w:eastAsia="Times New Roman" w:hAnsi="Sylfaen" w:cs="Times New Roman"/>
          <w:lang w:val="ka-GE"/>
        </w:rPr>
        <w:t>2</w:t>
      </w:r>
      <w:r>
        <w:rPr>
          <w:rFonts w:ascii="Sylfaen" w:eastAsia="Times New Roman" w:hAnsi="Sylfaen" w:cs="Times New Roman"/>
        </w:rPr>
        <w:t>5</w:t>
      </w:r>
      <w:r>
        <w:rPr>
          <w:rFonts w:ascii="Sylfaen" w:eastAsia="Times New Roman" w:hAnsi="Sylfaen" w:cs="Times New Roman"/>
          <w:lang w:val="ka-GE"/>
        </w:rPr>
        <w:t xml:space="preserve"> 10</w:t>
      </w:r>
      <w:r>
        <w:rPr>
          <w:rFonts w:ascii="Sylfaen" w:eastAsia="Times New Roman" w:hAnsi="Sylfaen" w:cs="Times New Roman"/>
        </w:rPr>
        <w:t xml:space="preserve">1 </w:t>
      </w:r>
      <w:r>
        <w:rPr>
          <w:rFonts w:ascii="Sylfaen" w:eastAsia="Times New Roman" w:hAnsi="Sylfaen" w:cs="Times New Roman"/>
          <w:lang w:val="ka-GE"/>
        </w:rPr>
        <w:t xml:space="preserve"> </w:t>
      </w:r>
      <w:r>
        <w:rPr>
          <w:rFonts w:ascii="Sylfaen" w:eastAsia="Times New Roman" w:hAnsi="Sylfaen" w:cs="Times New Roman"/>
        </w:rPr>
        <w:t>შეადგინა</w:t>
      </w:r>
      <w:r w:rsidRPr="0074463F">
        <w:rPr>
          <w:rFonts w:ascii="Sylfaen" w:eastAsia="Times New Roman" w:hAnsi="Sylfaen" w:cs="Times New Roman"/>
        </w:rPr>
        <w:t>.</w:t>
      </w:r>
    </w:p>
    <w:p w:rsidR="00952107" w:rsidRDefault="00952107" w:rsidP="007F668F">
      <w:pPr>
        <w:spacing w:after="0" w:line="312" w:lineRule="auto"/>
        <w:ind w:left="-284"/>
        <w:jc w:val="both"/>
        <w:rPr>
          <w:rFonts w:ascii="Sylfaen" w:eastAsia="Times New Roman" w:hAnsi="Sylfaen" w:cs="Times New Roman"/>
          <w:b/>
        </w:rPr>
      </w:pPr>
    </w:p>
    <w:p w:rsidR="00E349F7" w:rsidRPr="00E45F85" w:rsidRDefault="00E349F7" w:rsidP="007F668F">
      <w:pPr>
        <w:spacing w:after="0" w:line="312" w:lineRule="auto"/>
        <w:ind w:left="-284"/>
        <w:jc w:val="both"/>
        <w:rPr>
          <w:rFonts w:ascii="Sylfaen" w:eastAsia="Times New Roman" w:hAnsi="Sylfaen" w:cs="Times New Roman"/>
        </w:rPr>
      </w:pPr>
      <w:r w:rsidRPr="00E45F85">
        <w:rPr>
          <w:rFonts w:ascii="Sylfaen" w:eastAsia="Times New Roman" w:hAnsi="Sylfaen" w:cs="Times New Roman"/>
        </w:rPr>
        <w:t>დიაგრამ</w:t>
      </w:r>
      <w:r w:rsidRPr="00E45F85">
        <w:rPr>
          <w:rFonts w:ascii="Sylfaen" w:eastAsia="Times New Roman" w:hAnsi="Sylfaen" w:cs="Times New Roman"/>
          <w:lang w:val="ka-GE"/>
        </w:rPr>
        <w:t xml:space="preserve">ა </w:t>
      </w:r>
      <w:r w:rsidR="00CD6EFB" w:rsidRPr="00E45F85">
        <w:rPr>
          <w:rFonts w:ascii="Sylfaen" w:eastAsia="Times New Roman" w:hAnsi="Sylfaen" w:cs="Times New Roman"/>
        </w:rPr>
        <w:t>4</w:t>
      </w:r>
    </w:p>
    <w:p w:rsidR="00E349F7" w:rsidRPr="00AA041B" w:rsidRDefault="00952107" w:rsidP="007F668F">
      <w:pPr>
        <w:spacing w:after="0" w:line="312" w:lineRule="auto"/>
        <w:ind w:left="-284"/>
        <w:rPr>
          <w:rFonts w:ascii="Sylfaen" w:eastAsia="Times New Roman" w:hAnsi="Sylfaen" w:cs="Times New Roman"/>
          <w:color w:val="FF0000"/>
          <w:lang w:val="ka-GE"/>
        </w:rPr>
      </w:pPr>
      <w:r w:rsidRPr="00952107">
        <w:rPr>
          <w:rFonts w:ascii="Sylfaen" w:hAnsi="Sylfaen"/>
          <w:noProof/>
          <w:color w:val="FF0000"/>
        </w:rPr>
        <w:drawing>
          <wp:inline distT="0" distB="0" distL="0" distR="0">
            <wp:extent cx="5715000" cy="2864161"/>
            <wp:effectExtent l="19050" t="0" r="0" b="0"/>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349F7" w:rsidRPr="00AA041B" w:rsidRDefault="00E349F7" w:rsidP="007F668F">
      <w:pPr>
        <w:spacing w:after="0" w:line="312" w:lineRule="auto"/>
        <w:ind w:firstLine="709"/>
        <w:jc w:val="both"/>
        <w:rPr>
          <w:rFonts w:ascii="Sylfaen" w:eastAsia="Times New Roman" w:hAnsi="Sylfaen" w:cs="Times New Roman"/>
          <w:b/>
          <w:color w:val="FF0000"/>
          <w:lang w:val="ka-GE"/>
        </w:rPr>
      </w:pPr>
    </w:p>
    <w:p w:rsidR="00AC5678" w:rsidRPr="00AA041B" w:rsidRDefault="00AC5678" w:rsidP="007F668F">
      <w:pPr>
        <w:spacing w:after="0" w:line="312" w:lineRule="auto"/>
        <w:ind w:firstLine="709"/>
        <w:jc w:val="both"/>
        <w:rPr>
          <w:rFonts w:ascii="Sylfaen" w:eastAsia="Times New Roman" w:hAnsi="Sylfaen" w:cs="Times New Roman"/>
          <w:b/>
          <w:color w:val="FF0000"/>
        </w:rPr>
      </w:pPr>
    </w:p>
    <w:p w:rsidR="00E45F85" w:rsidRDefault="00E45F85" w:rsidP="007F668F">
      <w:pPr>
        <w:spacing w:after="120" w:line="312" w:lineRule="auto"/>
        <w:ind w:left="-567"/>
        <w:jc w:val="both"/>
        <w:rPr>
          <w:rFonts w:ascii="Sylfaen" w:eastAsia="Times New Roman" w:hAnsi="Sylfaen" w:cs="Times New Roman"/>
          <w:b/>
        </w:rPr>
      </w:pPr>
    </w:p>
    <w:p w:rsidR="00D52040" w:rsidRDefault="00D52040" w:rsidP="007F668F">
      <w:pPr>
        <w:spacing w:after="120" w:line="312" w:lineRule="auto"/>
        <w:ind w:left="-567"/>
        <w:jc w:val="both"/>
        <w:rPr>
          <w:rFonts w:ascii="Sylfaen" w:eastAsia="Times New Roman" w:hAnsi="Sylfaen" w:cs="Times New Roman"/>
          <w:b/>
          <w:lang w:val="ka-GE"/>
        </w:rPr>
      </w:pPr>
      <w:r w:rsidRPr="0074463F">
        <w:rPr>
          <w:rFonts w:ascii="Sylfaen" w:eastAsia="Times New Roman" w:hAnsi="Sylfaen" w:cs="Times New Roman"/>
          <w:b/>
        </w:rPr>
        <w:t>განქორწინება</w:t>
      </w:r>
    </w:p>
    <w:p w:rsidR="00952107" w:rsidRDefault="00952107" w:rsidP="007F668F">
      <w:pPr>
        <w:spacing w:after="0" w:line="312" w:lineRule="auto"/>
        <w:ind w:left="-567"/>
        <w:jc w:val="both"/>
        <w:rPr>
          <w:rFonts w:ascii="Sylfaen" w:eastAsia="Times New Roman" w:hAnsi="Sylfaen" w:cs="Times New Roman"/>
          <w:lang w:val="ka-GE"/>
        </w:rPr>
      </w:pPr>
      <w:r>
        <w:rPr>
          <w:rFonts w:ascii="Sylfaen" w:eastAsia="Times New Roman" w:hAnsi="Sylfaen" w:cs="Times New Roman"/>
        </w:rPr>
        <w:t>201</w:t>
      </w:r>
      <w:r>
        <w:rPr>
          <w:rFonts w:ascii="Sylfaen" w:eastAsia="Times New Roman" w:hAnsi="Sylfaen" w:cs="Times New Roman"/>
          <w:lang w:val="ka-GE"/>
        </w:rPr>
        <w:t>6</w:t>
      </w:r>
      <w:r w:rsidRPr="0074463F">
        <w:rPr>
          <w:rFonts w:ascii="Sylfaen" w:eastAsia="Times New Roman" w:hAnsi="Sylfaen" w:cs="Times New Roman"/>
        </w:rPr>
        <w:t xml:space="preserve"> წელს რეგისტრირებულ განქორწინებათა რაოდენობა</w:t>
      </w:r>
      <w:r>
        <w:rPr>
          <w:rFonts w:ascii="Sylfaen" w:eastAsia="Times New Roman" w:hAnsi="Sylfaen" w:cs="Times New Roman"/>
          <w:lang w:val="ka-GE"/>
        </w:rPr>
        <w:t>მ 9</w:t>
      </w:r>
      <w:r>
        <w:rPr>
          <w:rFonts w:ascii="Sylfaen" w:eastAsia="Times New Roman" w:hAnsi="Sylfaen" w:cs="Times New Roman"/>
        </w:rPr>
        <w:t> </w:t>
      </w:r>
      <w:r>
        <w:rPr>
          <w:rFonts w:ascii="Sylfaen" w:eastAsia="Times New Roman" w:hAnsi="Sylfaen" w:cs="Times New Roman"/>
          <w:lang w:val="ka-GE"/>
        </w:rPr>
        <w:t xml:space="preserve">539 შეადგინა და  </w:t>
      </w:r>
      <w:r w:rsidRPr="0074463F">
        <w:rPr>
          <w:rFonts w:ascii="Sylfaen" w:eastAsia="Times New Roman" w:hAnsi="Sylfaen" w:cs="Times New Roman"/>
        </w:rPr>
        <w:t xml:space="preserve">წინა </w:t>
      </w:r>
      <w:r>
        <w:rPr>
          <w:rFonts w:ascii="Sylfaen" w:eastAsia="Times New Roman" w:hAnsi="Sylfaen" w:cs="Times New Roman"/>
          <w:lang w:val="ka-GE"/>
        </w:rPr>
        <w:t xml:space="preserve">წლის ანალოგიურ მაჩვენებელთან შედარებით 4,7 პროცემდით გაიზარდა. </w:t>
      </w:r>
      <w:r w:rsidRPr="0074463F">
        <w:rPr>
          <w:rFonts w:ascii="Sylfaen" w:eastAsia="Times New Roman" w:hAnsi="Sylfaen" w:cs="Times New Roman"/>
        </w:rPr>
        <w:t xml:space="preserve"> </w:t>
      </w:r>
    </w:p>
    <w:p w:rsidR="00E349F7" w:rsidRPr="00E45F85" w:rsidRDefault="00E349F7" w:rsidP="007F668F">
      <w:pPr>
        <w:spacing w:before="120" w:after="0" w:line="312" w:lineRule="auto"/>
        <w:ind w:left="-284"/>
        <w:rPr>
          <w:rFonts w:ascii="Sylfaen" w:eastAsia="Times New Roman" w:hAnsi="Sylfaen" w:cs="AcadMtavr"/>
          <w:sz w:val="24"/>
          <w:szCs w:val="24"/>
        </w:rPr>
      </w:pPr>
      <w:r w:rsidRPr="00E45F85">
        <w:rPr>
          <w:rFonts w:ascii="Sylfaen" w:eastAsia="Times New Roman" w:hAnsi="Sylfaen" w:cs="Times New Roman"/>
        </w:rPr>
        <w:t>დიაგრამა</w:t>
      </w:r>
      <w:r w:rsidRPr="00E45F85">
        <w:rPr>
          <w:rFonts w:ascii="Sylfaen" w:eastAsia="Times New Roman" w:hAnsi="Sylfaen" w:cs="AcadMtavr"/>
          <w:sz w:val="24"/>
          <w:szCs w:val="24"/>
        </w:rPr>
        <w:t xml:space="preserve"> </w:t>
      </w:r>
      <w:r w:rsidR="00D52040" w:rsidRPr="00E45F85">
        <w:rPr>
          <w:rFonts w:ascii="Sylfaen" w:eastAsia="Times New Roman" w:hAnsi="Sylfaen" w:cs="AcadMtavr"/>
          <w:sz w:val="24"/>
          <w:szCs w:val="24"/>
        </w:rPr>
        <w:t>5</w:t>
      </w:r>
    </w:p>
    <w:p w:rsidR="00D52040" w:rsidRPr="00D52040" w:rsidRDefault="00D52040" w:rsidP="007F668F">
      <w:pPr>
        <w:spacing w:before="120" w:after="0" w:line="312" w:lineRule="auto"/>
        <w:ind w:firstLine="706"/>
        <w:rPr>
          <w:rFonts w:ascii="Sylfaen" w:eastAsia="Times New Roman" w:hAnsi="Sylfaen" w:cs="AcadMtavr"/>
          <w:b/>
          <w:sz w:val="24"/>
          <w:szCs w:val="24"/>
          <w:lang w:val="ka-GE"/>
        </w:rPr>
      </w:pPr>
    </w:p>
    <w:p w:rsidR="00E349F7" w:rsidRDefault="00952107" w:rsidP="007F668F">
      <w:pPr>
        <w:spacing w:after="0" w:line="312" w:lineRule="auto"/>
        <w:ind w:left="-284"/>
        <w:jc w:val="both"/>
        <w:rPr>
          <w:rFonts w:ascii="Sylfaen" w:hAnsi="Sylfaen"/>
          <w:b/>
          <w:noProof/>
          <w:color w:val="FF0000"/>
        </w:rPr>
      </w:pPr>
      <w:r w:rsidRPr="00952107">
        <w:rPr>
          <w:rFonts w:ascii="Sylfaen" w:hAnsi="Sylfaen"/>
          <w:b/>
          <w:noProof/>
          <w:color w:val="FF0000"/>
        </w:rPr>
        <w:drawing>
          <wp:inline distT="0" distB="0" distL="0" distR="0">
            <wp:extent cx="5713840" cy="1884459"/>
            <wp:effectExtent l="19050" t="0" r="0" b="0"/>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A2BF9" w:rsidRPr="00AA041B" w:rsidRDefault="00FA2BF9" w:rsidP="007F668F">
      <w:pPr>
        <w:spacing w:after="0" w:line="312" w:lineRule="auto"/>
        <w:jc w:val="both"/>
        <w:rPr>
          <w:rFonts w:ascii="Sylfaen" w:eastAsia="Times New Roman" w:hAnsi="Sylfaen" w:cs="Times New Roman"/>
          <w:b/>
          <w:color w:val="FF0000"/>
          <w:lang w:val="ka-GE"/>
        </w:rPr>
      </w:pPr>
    </w:p>
    <w:p w:rsidR="00E45F85" w:rsidRPr="00B142BC" w:rsidRDefault="00E45F85" w:rsidP="007F668F">
      <w:pPr>
        <w:spacing w:after="0" w:line="312" w:lineRule="auto"/>
        <w:ind w:left="-567"/>
        <w:jc w:val="both"/>
        <w:rPr>
          <w:rFonts w:ascii="Sylfaen" w:eastAsia="Times New Roman" w:hAnsi="Sylfaen" w:cs="Times New Roman"/>
          <w:color w:val="000000" w:themeColor="text1"/>
          <w:lang w:val="ka-GE"/>
        </w:rPr>
      </w:pPr>
      <w:r w:rsidRPr="00B142BC">
        <w:rPr>
          <w:rFonts w:ascii="Sylfaen" w:eastAsia="Times New Roman" w:hAnsi="Sylfaen" w:cs="Times New Roman"/>
          <w:color w:val="000000" w:themeColor="text1"/>
          <w:lang w:val="ka-GE"/>
        </w:rPr>
        <w:t xml:space="preserve">2016 წელს 2015 წელთან შედარებით 6,7 პროცენტით გაიზარდა განქორწინებათა რიცხვი 0-10 წლამდე ხანგრძლივობის ქორწინებებში. განქორწინებათა საერთო რაოდენობაში 1 წლამდე ხანგრძლივობის ქორწინებების წილი ყველაზე მაღალია (8,8 პროცენტი). </w:t>
      </w:r>
      <w:r w:rsidRPr="00B142BC">
        <w:rPr>
          <w:rFonts w:ascii="Sylfaen" w:eastAsia="Times New Roman" w:hAnsi="Sylfaen" w:cs="Times New Roman"/>
          <w:color w:val="000000" w:themeColor="text1"/>
          <w:lang w:val="ka-GE"/>
        </w:rPr>
        <w:tab/>
      </w:r>
    </w:p>
    <w:p w:rsidR="00FA2BF9" w:rsidRDefault="00FA2BF9" w:rsidP="007F668F">
      <w:pPr>
        <w:spacing w:after="0" w:line="312" w:lineRule="auto"/>
        <w:ind w:firstLine="709"/>
        <w:jc w:val="both"/>
        <w:rPr>
          <w:rFonts w:ascii="Sylfaen" w:eastAsia="Times New Roman" w:hAnsi="Sylfaen" w:cs="Times New Roman"/>
          <w:lang w:val="ka-GE"/>
        </w:rPr>
      </w:pPr>
    </w:p>
    <w:p w:rsidR="006105B0" w:rsidRDefault="006105B0" w:rsidP="007F668F">
      <w:pPr>
        <w:spacing w:after="0" w:line="312" w:lineRule="auto"/>
        <w:jc w:val="center"/>
        <w:rPr>
          <w:rFonts w:ascii="Sylfaen" w:eastAsia="Times New Roman" w:hAnsi="Sylfaen" w:cs="Times New Roman"/>
          <w:b/>
        </w:rPr>
      </w:pPr>
    </w:p>
    <w:p w:rsidR="006105B0" w:rsidRDefault="006105B0" w:rsidP="007F668F">
      <w:pPr>
        <w:spacing w:after="0" w:line="312" w:lineRule="auto"/>
        <w:jc w:val="center"/>
        <w:rPr>
          <w:rFonts w:ascii="Sylfaen" w:eastAsia="Times New Roman" w:hAnsi="Sylfaen" w:cs="Times New Roman"/>
          <w:b/>
        </w:rPr>
      </w:pPr>
    </w:p>
    <w:p w:rsidR="00FA2BF9" w:rsidRPr="00FC30AA" w:rsidRDefault="00FA2BF9" w:rsidP="007F668F">
      <w:pPr>
        <w:spacing w:after="0" w:line="312" w:lineRule="auto"/>
        <w:jc w:val="center"/>
        <w:rPr>
          <w:rFonts w:ascii="Sylfaen" w:eastAsia="Times New Roman" w:hAnsi="Sylfaen" w:cs="Times New Roman"/>
          <w:b/>
          <w:lang w:val="ka-GE"/>
        </w:rPr>
      </w:pPr>
      <w:r w:rsidRPr="00FC30AA">
        <w:rPr>
          <w:rFonts w:ascii="Sylfaen" w:eastAsia="Times New Roman" w:hAnsi="Sylfaen" w:cs="Times New Roman"/>
          <w:b/>
          <w:lang w:val="ka-GE"/>
        </w:rPr>
        <w:t xml:space="preserve">ძირითადი </w:t>
      </w:r>
      <w:r w:rsidRPr="00FC30AA">
        <w:rPr>
          <w:rFonts w:ascii="Sylfaen" w:eastAsia="Times New Roman" w:hAnsi="Sylfaen" w:cs="Times New Roman"/>
          <w:b/>
        </w:rPr>
        <w:t>დემოგრაფიული მაჩვენებლები რეგიონების მიხედვით</w:t>
      </w:r>
    </w:p>
    <w:p w:rsidR="00E45F85" w:rsidRDefault="00E45F85" w:rsidP="007F668F">
      <w:pPr>
        <w:spacing w:before="120" w:after="0" w:line="312" w:lineRule="auto"/>
        <w:ind w:left="-567"/>
        <w:jc w:val="both"/>
        <w:rPr>
          <w:rFonts w:ascii="Sylfaen" w:eastAsia="Times New Roman" w:hAnsi="Sylfaen" w:cs="Times New Roman"/>
          <w:lang w:val="ka-GE"/>
        </w:rPr>
      </w:pPr>
      <w:r>
        <w:rPr>
          <w:rFonts w:ascii="Sylfaen" w:eastAsia="Times New Roman" w:hAnsi="Sylfaen" w:cs="Times New Roman"/>
        </w:rPr>
        <w:t>20</w:t>
      </w:r>
      <w:r w:rsidRPr="0074463F">
        <w:rPr>
          <w:rFonts w:ascii="Sylfaen" w:eastAsia="Times New Roman" w:hAnsi="Sylfaen" w:cs="Times New Roman"/>
        </w:rPr>
        <w:t>1</w:t>
      </w:r>
      <w:r>
        <w:rPr>
          <w:rFonts w:ascii="Sylfaen" w:eastAsia="Times New Roman" w:hAnsi="Sylfaen" w:cs="Times New Roman"/>
          <w:lang w:val="ka-GE"/>
        </w:rPr>
        <w:t>6</w:t>
      </w:r>
      <w:r w:rsidRPr="0074463F">
        <w:rPr>
          <w:rFonts w:ascii="Sylfaen" w:eastAsia="Times New Roman" w:hAnsi="Sylfaen" w:cs="Times New Roman"/>
        </w:rPr>
        <w:t xml:space="preserve"> წლის </w:t>
      </w:r>
      <w:r>
        <w:rPr>
          <w:rFonts w:ascii="Sylfaen" w:eastAsia="Times New Roman" w:hAnsi="Sylfaen" w:cs="Times New Roman"/>
          <w:lang w:val="ka-GE"/>
        </w:rPr>
        <w:t xml:space="preserve">ძირითადი </w:t>
      </w:r>
      <w:r w:rsidRPr="0074463F">
        <w:rPr>
          <w:rFonts w:ascii="Sylfaen" w:eastAsia="Times New Roman" w:hAnsi="Sylfaen" w:cs="Times New Roman"/>
        </w:rPr>
        <w:t xml:space="preserve">დემოგრაფიული </w:t>
      </w:r>
      <w:r>
        <w:rPr>
          <w:rFonts w:ascii="Sylfaen" w:eastAsia="Times New Roman" w:hAnsi="Sylfaen" w:cs="Times New Roman"/>
          <w:lang w:val="ka-GE"/>
        </w:rPr>
        <w:t xml:space="preserve">მაჩვენებლები </w:t>
      </w:r>
      <w:r w:rsidRPr="0074463F">
        <w:rPr>
          <w:rFonts w:ascii="Sylfaen" w:eastAsia="Times New Roman" w:hAnsi="Sylfaen" w:cs="Times New Roman"/>
        </w:rPr>
        <w:t xml:space="preserve">ქვეყნის რეგიონების მიხედვით შემდეგნაირად </w:t>
      </w:r>
      <w:r>
        <w:rPr>
          <w:rFonts w:ascii="Sylfaen" w:eastAsia="Times New Roman" w:hAnsi="Sylfaen" w:cs="Times New Roman"/>
          <w:lang w:val="ka-GE"/>
        </w:rPr>
        <w:t>გამოიყურება:</w:t>
      </w:r>
    </w:p>
    <w:p w:rsidR="00E45F85" w:rsidRDefault="00E45F85" w:rsidP="00FC30AA">
      <w:pPr>
        <w:spacing w:after="0"/>
        <w:jc w:val="center"/>
        <w:rPr>
          <w:rFonts w:ascii="Sylfaen" w:eastAsia="Times New Roman" w:hAnsi="Sylfaen" w:cs="Times New Roman"/>
          <w:b/>
        </w:rPr>
      </w:pPr>
    </w:p>
    <w:p w:rsidR="007F668F" w:rsidRDefault="007F668F">
      <w:pPr>
        <w:rPr>
          <w:rFonts w:ascii="Sylfaen" w:eastAsia="Times New Roman" w:hAnsi="Sylfaen" w:cs="Times New Roman"/>
          <w:b/>
        </w:rPr>
      </w:pPr>
      <w:r>
        <w:rPr>
          <w:rFonts w:ascii="Sylfaen" w:eastAsia="Times New Roman" w:hAnsi="Sylfaen" w:cs="Times New Roman"/>
          <w:b/>
        </w:rPr>
        <w:br w:type="page"/>
      </w:r>
    </w:p>
    <w:p w:rsidR="00FA2BF9" w:rsidRPr="00FC30AA" w:rsidRDefault="00FA2BF9" w:rsidP="00FC30AA">
      <w:pPr>
        <w:spacing w:after="0"/>
        <w:jc w:val="center"/>
        <w:rPr>
          <w:rFonts w:ascii="Sylfaen" w:eastAsia="Times New Roman" w:hAnsi="Sylfaen" w:cs="Times New Roman"/>
          <w:b/>
        </w:rPr>
      </w:pPr>
      <w:r>
        <w:rPr>
          <w:rFonts w:ascii="Sylfaen" w:eastAsia="Times New Roman" w:hAnsi="Sylfaen" w:cs="Times New Roman"/>
          <w:b/>
        </w:rPr>
        <w:lastRenderedPageBreak/>
        <w:t>20</w:t>
      </w:r>
      <w:r w:rsidRPr="0074463F">
        <w:rPr>
          <w:rFonts w:ascii="Sylfaen" w:eastAsia="Times New Roman" w:hAnsi="Sylfaen" w:cs="Times New Roman"/>
          <w:b/>
        </w:rPr>
        <w:t>1</w:t>
      </w:r>
      <w:r>
        <w:rPr>
          <w:rFonts w:ascii="Sylfaen" w:eastAsia="Times New Roman" w:hAnsi="Sylfaen" w:cs="Times New Roman"/>
          <w:b/>
          <w:lang w:val="ka-GE"/>
        </w:rPr>
        <w:t>5</w:t>
      </w:r>
      <w:r w:rsidRPr="0074463F">
        <w:rPr>
          <w:rFonts w:ascii="Sylfaen" w:eastAsia="Times New Roman" w:hAnsi="Sylfaen" w:cs="Times New Roman"/>
          <w:b/>
        </w:rPr>
        <w:t xml:space="preserve"> წლის ძირითადი დემოგრაფიული მაჩვენებლები </w:t>
      </w:r>
      <w:r w:rsidRPr="0092170E">
        <w:rPr>
          <w:rFonts w:ascii="Sylfaen" w:eastAsia="Times New Roman" w:hAnsi="Sylfaen" w:cs="Times New Roman"/>
          <w:b/>
        </w:rPr>
        <w:t>რეგიონების მიხედვით</w:t>
      </w:r>
    </w:p>
    <w:p w:rsidR="00FA2BF9" w:rsidRPr="00A707FC" w:rsidRDefault="00FA2BF9" w:rsidP="00FA2BF9">
      <w:pPr>
        <w:spacing w:after="0"/>
        <w:ind w:left="7920" w:firstLine="720"/>
        <w:jc w:val="center"/>
        <w:rPr>
          <w:rFonts w:ascii="Sylfaen" w:eastAsia="Times New Roman" w:hAnsi="Sylfaen" w:cs="Times New Roman"/>
          <w:sz w:val="16"/>
          <w:szCs w:val="16"/>
          <w:lang w:val="ka-GE"/>
        </w:rPr>
      </w:pPr>
    </w:p>
    <w:tbl>
      <w:tblPr>
        <w:tblW w:w="10031" w:type="dxa"/>
        <w:jc w:val="center"/>
        <w:tblLayout w:type="fixed"/>
        <w:tblLook w:val="04A0"/>
      </w:tblPr>
      <w:tblGrid>
        <w:gridCol w:w="3456"/>
        <w:gridCol w:w="1315"/>
        <w:gridCol w:w="1315"/>
        <w:gridCol w:w="1315"/>
        <w:gridCol w:w="1315"/>
        <w:gridCol w:w="1315"/>
      </w:tblGrid>
      <w:tr w:rsidR="00E45F85" w:rsidRPr="0074463F" w:rsidTr="00FA2BF9">
        <w:trPr>
          <w:trHeight w:val="605"/>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F85" w:rsidRPr="00965B09" w:rsidRDefault="00E45F85" w:rsidP="00817373">
            <w:pPr>
              <w:spacing w:after="0" w:line="240" w:lineRule="auto"/>
              <w:jc w:val="center"/>
              <w:rPr>
                <w:rFonts w:ascii="Sylfaen" w:hAnsi="Sylfaen"/>
                <w:sz w:val="20"/>
                <w:szCs w:val="20"/>
                <w:lang w:val="ka-GE"/>
              </w:rPr>
            </w:pPr>
            <w:r w:rsidRPr="0074463F">
              <w:rPr>
                <w:rFonts w:ascii="Sylfaen" w:hAnsi="Sylfaen" w:cs="Sylfaen"/>
                <w:sz w:val="20"/>
                <w:szCs w:val="20"/>
              </w:rPr>
              <w:t>რეგიონ</w:t>
            </w:r>
            <w:r>
              <w:rPr>
                <w:rFonts w:ascii="Sylfaen" w:hAnsi="Sylfaen" w:cs="Sylfaen"/>
                <w:sz w:val="20"/>
                <w:szCs w:val="20"/>
                <w:lang w:val="ka-GE"/>
              </w:rPr>
              <w:t>ი</w:t>
            </w:r>
          </w:p>
        </w:tc>
        <w:tc>
          <w:tcPr>
            <w:tcW w:w="1315" w:type="dxa"/>
            <w:tcBorders>
              <w:top w:val="single" w:sz="4" w:space="0" w:color="auto"/>
              <w:left w:val="nil"/>
              <w:bottom w:val="single" w:sz="4" w:space="0" w:color="auto"/>
              <w:right w:val="single" w:sz="4" w:space="0" w:color="auto"/>
            </w:tcBorders>
            <w:shd w:val="clear" w:color="auto" w:fill="auto"/>
            <w:noWrap/>
            <w:hideMark/>
          </w:tcPr>
          <w:p w:rsidR="00E45F85" w:rsidRPr="0074463F" w:rsidRDefault="00E45F85" w:rsidP="00817373">
            <w:pPr>
              <w:spacing w:after="0" w:line="240" w:lineRule="auto"/>
              <w:jc w:val="center"/>
              <w:rPr>
                <w:rFonts w:ascii="Sylfaen" w:hAnsi="Sylfaen"/>
                <w:sz w:val="20"/>
                <w:szCs w:val="20"/>
              </w:rPr>
            </w:pPr>
            <w:r w:rsidRPr="0074463F">
              <w:rPr>
                <w:rFonts w:ascii="Sylfaen" w:hAnsi="Sylfaen" w:cs="Sylfaen"/>
                <w:sz w:val="20"/>
                <w:szCs w:val="20"/>
              </w:rPr>
              <w:t>ცოცხლად</w:t>
            </w:r>
            <w:r w:rsidRPr="0074463F">
              <w:rPr>
                <w:rFonts w:ascii="Sylfaen" w:hAnsi="Sylfaen"/>
                <w:sz w:val="20"/>
                <w:szCs w:val="20"/>
              </w:rPr>
              <w:t xml:space="preserve"> </w:t>
            </w:r>
            <w:r w:rsidRPr="0074463F">
              <w:rPr>
                <w:rFonts w:ascii="Sylfaen" w:hAnsi="Sylfaen" w:cs="Sylfaen"/>
                <w:sz w:val="20"/>
                <w:szCs w:val="20"/>
              </w:rPr>
              <w:t>დაბადება</w:t>
            </w:r>
          </w:p>
        </w:tc>
        <w:tc>
          <w:tcPr>
            <w:tcW w:w="1315" w:type="dxa"/>
            <w:tcBorders>
              <w:top w:val="single" w:sz="4" w:space="0" w:color="auto"/>
              <w:left w:val="nil"/>
              <w:bottom w:val="single" w:sz="4" w:space="0" w:color="auto"/>
              <w:right w:val="single" w:sz="4" w:space="0" w:color="auto"/>
            </w:tcBorders>
            <w:shd w:val="clear" w:color="auto" w:fill="auto"/>
            <w:noWrap/>
            <w:hideMark/>
          </w:tcPr>
          <w:p w:rsidR="00E45F85" w:rsidRPr="0074463F" w:rsidRDefault="00E45F85" w:rsidP="00817373">
            <w:pPr>
              <w:spacing w:after="0" w:line="240" w:lineRule="auto"/>
              <w:jc w:val="center"/>
              <w:rPr>
                <w:rFonts w:ascii="Sylfaen" w:hAnsi="Sylfaen"/>
                <w:sz w:val="20"/>
                <w:szCs w:val="20"/>
              </w:rPr>
            </w:pPr>
            <w:r w:rsidRPr="0074463F">
              <w:rPr>
                <w:rFonts w:ascii="Sylfaen" w:hAnsi="Sylfaen" w:cs="Sylfaen"/>
                <w:sz w:val="20"/>
                <w:szCs w:val="20"/>
              </w:rPr>
              <w:t>გარდაც</w:t>
            </w:r>
            <w:r>
              <w:rPr>
                <w:rFonts w:ascii="Sylfaen" w:hAnsi="Sylfaen" w:cs="Sylfaen"/>
                <w:sz w:val="20"/>
                <w:szCs w:val="20"/>
                <w:lang w:val="ka-GE"/>
              </w:rPr>
              <w:t>–</w:t>
            </w:r>
            <w:r w:rsidRPr="0074463F">
              <w:rPr>
                <w:rFonts w:ascii="Sylfaen" w:hAnsi="Sylfaen" w:cs="Sylfaen"/>
                <w:sz w:val="20"/>
                <w:szCs w:val="20"/>
              </w:rPr>
              <w:t>ვალება</w:t>
            </w:r>
          </w:p>
        </w:tc>
        <w:tc>
          <w:tcPr>
            <w:tcW w:w="1315" w:type="dxa"/>
            <w:tcBorders>
              <w:top w:val="single" w:sz="4" w:space="0" w:color="auto"/>
              <w:left w:val="nil"/>
              <w:bottom w:val="single" w:sz="4" w:space="0" w:color="auto"/>
              <w:right w:val="single" w:sz="4" w:space="0" w:color="auto"/>
            </w:tcBorders>
            <w:shd w:val="clear" w:color="auto" w:fill="auto"/>
            <w:hideMark/>
          </w:tcPr>
          <w:p w:rsidR="00E45F85" w:rsidRPr="0074463F" w:rsidRDefault="00E45F85" w:rsidP="00817373">
            <w:pPr>
              <w:spacing w:after="0" w:line="240" w:lineRule="auto"/>
              <w:jc w:val="center"/>
              <w:rPr>
                <w:rFonts w:ascii="Sylfaen" w:hAnsi="Sylfaen"/>
                <w:sz w:val="20"/>
                <w:szCs w:val="20"/>
              </w:rPr>
            </w:pPr>
            <w:r w:rsidRPr="0074463F">
              <w:rPr>
                <w:rFonts w:ascii="Sylfaen" w:hAnsi="Sylfaen" w:cs="Sylfaen"/>
                <w:sz w:val="20"/>
                <w:szCs w:val="20"/>
              </w:rPr>
              <w:t>ბუნებრივი</w:t>
            </w:r>
            <w:r w:rsidRPr="0074463F">
              <w:rPr>
                <w:rFonts w:ascii="Sylfaen" w:hAnsi="Sylfaen"/>
                <w:sz w:val="20"/>
                <w:szCs w:val="20"/>
              </w:rPr>
              <w:t xml:space="preserve"> </w:t>
            </w:r>
            <w:r w:rsidRPr="0074463F">
              <w:rPr>
                <w:rFonts w:ascii="Sylfaen" w:hAnsi="Sylfaen" w:cs="Sylfaen"/>
                <w:sz w:val="20"/>
                <w:szCs w:val="20"/>
              </w:rPr>
              <w:t>მატება</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E45F85" w:rsidRPr="008350D8" w:rsidRDefault="00E45F85" w:rsidP="00817373">
            <w:pPr>
              <w:spacing w:after="0" w:line="240" w:lineRule="auto"/>
              <w:jc w:val="center"/>
              <w:rPr>
                <w:rFonts w:ascii="Sylfaen" w:hAnsi="Sylfaen" w:cs="Arial"/>
                <w:bCs/>
                <w:sz w:val="20"/>
                <w:szCs w:val="20"/>
                <w:lang w:val="ka-GE"/>
              </w:rPr>
            </w:pPr>
            <w:r w:rsidRPr="008350D8">
              <w:rPr>
                <w:rFonts w:ascii="Sylfaen" w:hAnsi="Sylfaen" w:cs="Arial"/>
                <w:bCs/>
                <w:sz w:val="20"/>
                <w:szCs w:val="20"/>
                <w:lang w:val="ka-GE"/>
              </w:rPr>
              <w:t>ქორწინება</w:t>
            </w:r>
          </w:p>
        </w:tc>
        <w:tc>
          <w:tcPr>
            <w:tcW w:w="1315" w:type="dxa"/>
            <w:tcBorders>
              <w:top w:val="single" w:sz="4" w:space="0" w:color="auto"/>
              <w:left w:val="nil"/>
              <w:bottom w:val="single" w:sz="4" w:space="0" w:color="auto"/>
              <w:right w:val="single" w:sz="4" w:space="0" w:color="auto"/>
            </w:tcBorders>
            <w:shd w:val="clear" w:color="auto" w:fill="auto"/>
            <w:hideMark/>
          </w:tcPr>
          <w:p w:rsidR="00E45F85" w:rsidRPr="0074463F" w:rsidRDefault="00E45F85" w:rsidP="00817373">
            <w:pPr>
              <w:spacing w:after="0" w:line="240" w:lineRule="auto"/>
              <w:jc w:val="center"/>
              <w:rPr>
                <w:rFonts w:ascii="Sylfaen" w:hAnsi="Sylfaen"/>
                <w:sz w:val="20"/>
                <w:szCs w:val="20"/>
              </w:rPr>
            </w:pPr>
            <w:r w:rsidRPr="0074463F">
              <w:rPr>
                <w:rFonts w:ascii="Sylfaen" w:hAnsi="Sylfaen" w:cs="Sylfaen"/>
                <w:sz w:val="20"/>
                <w:szCs w:val="20"/>
              </w:rPr>
              <w:t>განქორწი</w:t>
            </w:r>
            <w:r>
              <w:rPr>
                <w:rFonts w:ascii="Sylfaen" w:hAnsi="Sylfaen" w:cs="Sylfaen"/>
                <w:sz w:val="20"/>
                <w:szCs w:val="20"/>
                <w:lang w:val="ka-GE"/>
              </w:rPr>
              <w:t>–</w:t>
            </w:r>
            <w:r w:rsidRPr="0074463F">
              <w:rPr>
                <w:rFonts w:ascii="Sylfaen" w:hAnsi="Sylfaen" w:cs="Sylfaen"/>
                <w:sz w:val="20"/>
                <w:szCs w:val="20"/>
              </w:rPr>
              <w:t>ნება</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F45C3B" w:rsidRDefault="00E45F85" w:rsidP="00817373">
            <w:pPr>
              <w:spacing w:after="0"/>
              <w:rPr>
                <w:rFonts w:ascii="Sylfaen" w:hAnsi="Sylfaen"/>
                <w:spacing w:val="80"/>
                <w:lang w:val="ka-GE"/>
              </w:rPr>
            </w:pPr>
            <w:r w:rsidRPr="006A01A4">
              <w:rPr>
                <w:rFonts w:ascii="Sylfaen" w:hAnsi="Sylfaen"/>
                <w:b/>
                <w:sz w:val="20"/>
                <w:szCs w:val="20"/>
              </w:rPr>
              <w:t xml:space="preserve"> </w:t>
            </w:r>
            <w:r w:rsidRPr="00F45C3B">
              <w:rPr>
                <w:rFonts w:ascii="Sylfaen" w:hAnsi="Sylfaen" w:cs="Sylfaen"/>
                <w:b/>
                <w:spacing w:val="80"/>
                <w:sz w:val="20"/>
                <w:szCs w:val="20"/>
              </w:rPr>
              <w:t>საქართველო</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D52A3" w:rsidRDefault="00E45F85" w:rsidP="00817373">
            <w:pPr>
              <w:spacing w:after="0" w:line="240" w:lineRule="auto"/>
              <w:jc w:val="right"/>
              <w:rPr>
                <w:rFonts w:ascii="Times New Roman" w:hAnsi="Times New Roman" w:cs="Times New Roman"/>
                <w:b/>
                <w:bCs/>
                <w:lang w:val="ka-GE"/>
              </w:rPr>
            </w:pPr>
            <w:r w:rsidRPr="00BD52A3">
              <w:rPr>
                <w:rFonts w:ascii="Times New Roman" w:hAnsi="Times New Roman" w:cs="Times New Roman"/>
                <w:b/>
                <w:bCs/>
                <w:lang w:val="ka-GE"/>
              </w:rPr>
              <w:t>56 569</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D52A3" w:rsidRDefault="00E45F85" w:rsidP="00817373">
            <w:pPr>
              <w:spacing w:after="0" w:line="240" w:lineRule="auto"/>
              <w:jc w:val="right"/>
              <w:rPr>
                <w:rFonts w:ascii="Times New Roman" w:hAnsi="Times New Roman" w:cs="Times New Roman"/>
                <w:b/>
                <w:bCs/>
                <w:lang w:val="ka-GE"/>
              </w:rPr>
            </w:pPr>
            <w:r w:rsidRPr="00BD52A3">
              <w:rPr>
                <w:rFonts w:ascii="Times New Roman" w:hAnsi="Times New Roman" w:cs="Times New Roman"/>
                <w:b/>
                <w:bCs/>
                <w:lang w:val="ka-GE"/>
              </w:rPr>
              <w:t>50 771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D52A3" w:rsidRDefault="00E45F85" w:rsidP="00817373">
            <w:pPr>
              <w:spacing w:after="0" w:line="240" w:lineRule="auto"/>
              <w:jc w:val="right"/>
              <w:rPr>
                <w:rFonts w:ascii="Times New Roman" w:hAnsi="Times New Roman" w:cs="Times New Roman"/>
                <w:b/>
                <w:bCs/>
                <w:lang w:val="ka-GE"/>
              </w:rPr>
            </w:pPr>
            <w:r w:rsidRPr="00BD52A3">
              <w:rPr>
                <w:rFonts w:ascii="Times New Roman" w:hAnsi="Times New Roman" w:cs="Times New Roman"/>
                <w:b/>
                <w:bCs/>
                <w:lang w:val="ka-GE"/>
              </w:rPr>
              <w:t>5 798</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D52A3" w:rsidRDefault="00E45F85" w:rsidP="00817373">
            <w:pPr>
              <w:spacing w:after="0" w:line="240" w:lineRule="auto"/>
              <w:jc w:val="right"/>
              <w:rPr>
                <w:rFonts w:ascii="Times New Roman" w:hAnsi="Times New Roman" w:cs="Times New Roman"/>
                <w:b/>
                <w:bCs/>
                <w:lang w:val="ka-GE"/>
              </w:rPr>
            </w:pPr>
            <w:r w:rsidRPr="00BD52A3">
              <w:rPr>
                <w:rFonts w:ascii="Times New Roman" w:hAnsi="Times New Roman" w:cs="Times New Roman"/>
                <w:b/>
                <w:bCs/>
                <w:lang w:val="ka-GE"/>
              </w:rPr>
              <w:t>25 101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D52A3" w:rsidRDefault="00E45F85" w:rsidP="00817373">
            <w:pPr>
              <w:spacing w:after="0" w:line="240" w:lineRule="auto"/>
              <w:jc w:val="right"/>
              <w:rPr>
                <w:rFonts w:ascii="Times New Roman" w:hAnsi="Times New Roman" w:cs="Times New Roman"/>
                <w:b/>
                <w:bCs/>
                <w:lang w:val="ka-GE"/>
              </w:rPr>
            </w:pPr>
            <w:r w:rsidRPr="00BD52A3">
              <w:rPr>
                <w:rFonts w:ascii="Times New Roman" w:hAnsi="Times New Roman" w:cs="Times New Roman"/>
                <w:b/>
                <w:bCs/>
                <w:lang w:val="ka-GE"/>
              </w:rPr>
              <w:t>9 539</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ქ</w:t>
            </w:r>
            <w:r w:rsidRPr="0074463F">
              <w:rPr>
                <w:rFonts w:ascii="Sylfaen" w:hAnsi="Sylfaen"/>
                <w:sz w:val="20"/>
                <w:szCs w:val="20"/>
              </w:rPr>
              <w:t xml:space="preserve">. </w:t>
            </w:r>
            <w:r w:rsidRPr="0074463F">
              <w:rPr>
                <w:rFonts w:ascii="Sylfaen" w:hAnsi="Sylfaen" w:cs="Sylfaen"/>
                <w:sz w:val="20"/>
                <w:szCs w:val="20"/>
              </w:rPr>
              <w:t>თბილისი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9B78B4">
              <w:rPr>
                <w:rFonts w:ascii="Times New Roman" w:hAnsi="Times New Roman" w:cs="Times New Roman"/>
                <w:bCs/>
                <w:sz w:val="20"/>
                <w:szCs w:val="20"/>
                <w:lang w:val="ka-GE"/>
              </w:rPr>
              <w:t>1</w:t>
            </w:r>
            <w:r w:rsidRPr="00B82AAC">
              <w:rPr>
                <w:rFonts w:ascii="Times New Roman" w:hAnsi="Times New Roman" w:cs="Times New Roman"/>
                <w:bCs/>
                <w:sz w:val="20"/>
                <w:szCs w:val="20"/>
                <w:lang w:val="ka-GE"/>
              </w:rPr>
              <w:t>6 784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Sylfaen" w:hAnsi="Sylfaen" w:cs="Times New Roman"/>
                <w:bCs/>
                <w:sz w:val="20"/>
                <w:szCs w:val="20"/>
                <w:lang w:val="ka-GE"/>
              </w:rPr>
            </w:pPr>
            <w:r w:rsidRPr="009B78B4">
              <w:rPr>
                <w:rFonts w:ascii="Times New Roman" w:hAnsi="Times New Roman" w:cs="Times New Roman"/>
                <w:bCs/>
                <w:sz w:val="20"/>
                <w:szCs w:val="20"/>
                <w:lang w:val="ka-GE"/>
              </w:rPr>
              <w:t>12</w:t>
            </w:r>
            <w:r w:rsidRPr="00B82AAC">
              <w:rPr>
                <w:rFonts w:ascii="Times New Roman" w:hAnsi="Times New Roman" w:cs="Times New Roman"/>
                <w:bCs/>
                <w:sz w:val="20"/>
                <w:szCs w:val="20"/>
                <w:lang w:val="ka-GE"/>
              </w:rPr>
              <w:t xml:space="preserve"> </w:t>
            </w:r>
            <w:r>
              <w:rPr>
                <w:rFonts w:ascii="Sylfaen" w:hAnsi="Sylfaen" w:cs="Times New Roman"/>
                <w:bCs/>
                <w:sz w:val="20"/>
                <w:szCs w:val="20"/>
                <w:lang w:val="ka-GE"/>
              </w:rPr>
              <w:t>720</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4</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064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7</w:t>
            </w:r>
            <w:r>
              <w:rPr>
                <w:rFonts w:ascii="Sylfaen" w:hAnsi="Sylfaen" w:cs="Times New Roman"/>
                <w:bCs/>
                <w:sz w:val="20"/>
                <w:szCs w:val="20"/>
                <w:lang w:val="ka-GE"/>
              </w:rPr>
              <w:t xml:space="preserve"> </w:t>
            </w:r>
            <w:r>
              <w:rPr>
                <w:rFonts w:ascii="Times New Roman" w:hAnsi="Times New Roman" w:cs="Times New Roman"/>
                <w:bCs/>
                <w:sz w:val="20"/>
                <w:szCs w:val="20"/>
              </w:rPr>
              <w:t>304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3</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68</w:t>
            </w:r>
            <w:r>
              <w:rPr>
                <w:rFonts w:ascii="Times New Roman" w:hAnsi="Times New Roman" w:cs="Times New Roman"/>
                <w:bCs/>
                <w:sz w:val="20"/>
                <w:szCs w:val="20"/>
              </w:rPr>
              <w:t>8</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CA76D4" w:rsidRDefault="00E45F85" w:rsidP="00817373">
            <w:pPr>
              <w:spacing w:after="0" w:line="240" w:lineRule="auto"/>
              <w:ind w:left="170"/>
              <w:rPr>
                <w:rFonts w:ascii="Sylfaen" w:hAnsi="Sylfaen"/>
                <w:sz w:val="20"/>
                <w:szCs w:val="20"/>
                <w:lang w:val="ka-GE"/>
              </w:rPr>
            </w:pPr>
            <w:r w:rsidRPr="0074463F">
              <w:rPr>
                <w:rFonts w:ascii="Sylfaen" w:hAnsi="Sylfaen" w:cs="Sylfaen"/>
                <w:sz w:val="20"/>
                <w:szCs w:val="20"/>
              </w:rPr>
              <w:t>აფხაზეთის</w:t>
            </w:r>
            <w:r w:rsidRPr="0074463F">
              <w:rPr>
                <w:rFonts w:ascii="Sylfaen" w:hAnsi="Sylfaen"/>
                <w:sz w:val="20"/>
                <w:szCs w:val="20"/>
              </w:rPr>
              <w:t xml:space="preserve"> </w:t>
            </w:r>
            <w:r w:rsidRPr="0074463F">
              <w:rPr>
                <w:rFonts w:ascii="Sylfaen" w:hAnsi="Sylfaen" w:cs="Sylfaen"/>
                <w:sz w:val="20"/>
                <w:szCs w:val="20"/>
              </w:rPr>
              <w:t>ა</w:t>
            </w:r>
            <w:r w:rsidRPr="0074463F">
              <w:rPr>
                <w:rFonts w:ascii="Sylfaen" w:hAnsi="Sylfaen"/>
                <w:sz w:val="20"/>
                <w:szCs w:val="20"/>
              </w:rPr>
              <w:t>.</w:t>
            </w:r>
            <w:r w:rsidRPr="0074463F">
              <w:rPr>
                <w:rFonts w:ascii="Sylfaen" w:hAnsi="Sylfaen" w:cs="Sylfaen"/>
                <w:sz w:val="20"/>
                <w:szCs w:val="20"/>
              </w:rPr>
              <w:t>რ</w:t>
            </w:r>
            <w:r>
              <w:rPr>
                <w:rFonts w:ascii="Sylfaen" w:hAnsi="Sylfaen" w:cs="Sylfaen"/>
                <w:sz w:val="20"/>
                <w:szCs w:val="20"/>
                <w:lang w:val="ka-GE"/>
              </w:rPr>
              <w:t>.</w:t>
            </w:r>
            <w:r w:rsidRPr="00CA76D4">
              <w:rPr>
                <w:rStyle w:val="FootnoteReference"/>
                <w:rFonts w:ascii="Sylfaen" w:hAnsi="Sylfaen"/>
                <w:sz w:val="20"/>
                <w:szCs w:val="20"/>
              </w:rPr>
              <w:footnoteReference w:customMarkFollows="1" w:id="3"/>
              <w:sym w:font="Symbol" w:char="F02A"/>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9B78B4" w:rsidRDefault="00E45F85" w:rsidP="00817373">
            <w:pPr>
              <w:spacing w:after="0" w:line="240" w:lineRule="auto"/>
              <w:jc w:val="right"/>
              <w:rPr>
                <w:rFonts w:ascii="Times New Roman" w:hAnsi="Times New Roman" w:cs="Times New Roman"/>
                <w:bCs/>
                <w:sz w:val="20"/>
                <w:szCs w:val="20"/>
                <w:lang w:val="ka-GE"/>
              </w:rPr>
            </w:pPr>
            <w:r w:rsidRPr="009B78B4">
              <w:rPr>
                <w:rFonts w:ascii="Times New Roman" w:hAnsi="Times New Roman" w:cs="Times New Roman"/>
                <w:bCs/>
                <w:sz w:val="20"/>
                <w:szCs w:val="20"/>
                <w:lang w:val="ka-GE"/>
              </w:rPr>
              <w:t>…</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9B78B4" w:rsidRDefault="00E45F85" w:rsidP="00817373">
            <w:pPr>
              <w:spacing w:after="0" w:line="240" w:lineRule="auto"/>
              <w:jc w:val="right"/>
              <w:rPr>
                <w:rFonts w:ascii="Times New Roman" w:hAnsi="Times New Roman" w:cs="Times New Roman"/>
                <w:bCs/>
                <w:sz w:val="20"/>
                <w:szCs w:val="20"/>
                <w:lang w:val="ka-GE"/>
              </w:rPr>
            </w:pPr>
            <w:r w:rsidRPr="009B78B4">
              <w:rPr>
                <w:rFonts w:ascii="Times New Roman" w:hAnsi="Times New Roman" w:cs="Times New Roman"/>
                <w:bCs/>
                <w:sz w:val="20"/>
                <w:szCs w:val="20"/>
                <w:lang w:val="ka-GE"/>
              </w:rPr>
              <w:t>…</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9B78B4">
              <w:rPr>
                <w:rFonts w:ascii="Times New Roman" w:hAnsi="Times New Roman" w:cs="Times New Roman"/>
                <w:bCs/>
                <w:sz w:val="20"/>
                <w:szCs w:val="20"/>
                <w:lang w:val="ka-GE"/>
              </w:rPr>
              <w:t>…</w:t>
            </w:r>
            <w:r w:rsidRPr="007157C7">
              <w:rPr>
                <w:rFonts w:ascii="Times New Roman" w:hAnsi="Times New Roman" w:cs="Times New Roman"/>
                <w:bCs/>
                <w:sz w:val="20"/>
                <w:szCs w:val="20"/>
                <w:lang w:val="ka-GE"/>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9B78B4">
              <w:rPr>
                <w:rFonts w:ascii="Times New Roman" w:hAnsi="Times New Roman" w:cs="Times New Roman"/>
                <w:bCs/>
                <w:sz w:val="20"/>
                <w:szCs w:val="20"/>
                <w:lang w:val="ka-GE"/>
              </w:rPr>
              <w:t>…</w:t>
            </w:r>
            <w:r w:rsidRPr="007157C7">
              <w:rPr>
                <w:rFonts w:ascii="Times New Roman" w:hAnsi="Times New Roman" w:cs="Times New Roman"/>
                <w:bCs/>
                <w:sz w:val="20"/>
                <w:szCs w:val="20"/>
                <w:lang w:val="ka-GE"/>
              </w:rPr>
              <w:t> </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9B78B4">
              <w:rPr>
                <w:rFonts w:ascii="Times New Roman" w:hAnsi="Times New Roman" w:cs="Times New Roman"/>
                <w:bCs/>
                <w:sz w:val="20"/>
                <w:szCs w:val="20"/>
                <w:lang w:val="ka-GE"/>
              </w:rPr>
              <w:t>…</w:t>
            </w:r>
            <w:r w:rsidRPr="007157C7">
              <w:rPr>
                <w:rFonts w:ascii="Times New Roman" w:hAnsi="Times New Roman" w:cs="Times New Roman"/>
                <w:bCs/>
                <w:sz w:val="20"/>
                <w:szCs w:val="20"/>
                <w:lang w:val="ka-GE"/>
              </w:rPr>
              <w:t> </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აჭარის</w:t>
            </w:r>
            <w:r w:rsidRPr="0074463F">
              <w:rPr>
                <w:rFonts w:ascii="Sylfaen" w:hAnsi="Sylfaen"/>
                <w:sz w:val="20"/>
                <w:szCs w:val="20"/>
              </w:rPr>
              <w:t xml:space="preserve"> </w:t>
            </w:r>
            <w:r w:rsidRPr="0074463F">
              <w:rPr>
                <w:rFonts w:ascii="Sylfaen" w:hAnsi="Sylfaen" w:cs="Sylfaen"/>
                <w:sz w:val="20"/>
                <w:szCs w:val="20"/>
              </w:rPr>
              <w:t>ა</w:t>
            </w:r>
            <w:r w:rsidRPr="0074463F">
              <w:rPr>
                <w:rFonts w:ascii="Sylfaen" w:hAnsi="Sylfaen"/>
                <w:sz w:val="20"/>
                <w:szCs w:val="20"/>
              </w:rPr>
              <w:t>.</w:t>
            </w:r>
            <w:r w:rsidRPr="0074463F">
              <w:rPr>
                <w:rFonts w:ascii="Sylfaen" w:hAnsi="Sylfaen" w:cs="Sylfaen"/>
                <w:sz w:val="20"/>
                <w:szCs w:val="20"/>
              </w:rPr>
              <w:t>რ</w:t>
            </w:r>
            <w:r w:rsidRPr="0074463F">
              <w:rPr>
                <w:rFonts w:ascii="Sylfaen" w:hAnsi="Sylfaen"/>
                <w:sz w:val="20"/>
                <w:szCs w:val="20"/>
              </w:rPr>
              <w:t>.</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5</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977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3</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622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2355</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2</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6</w:t>
            </w:r>
            <w:r>
              <w:rPr>
                <w:rFonts w:ascii="Times New Roman" w:hAnsi="Times New Roman" w:cs="Times New Roman"/>
                <w:bCs/>
                <w:sz w:val="20"/>
                <w:szCs w:val="20"/>
              </w:rPr>
              <w:t>31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717</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გურია</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1</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535</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1</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832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-297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7</w:t>
            </w:r>
            <w:r>
              <w:rPr>
                <w:rFonts w:ascii="Times New Roman" w:hAnsi="Times New Roman" w:cs="Times New Roman"/>
                <w:bCs/>
                <w:sz w:val="20"/>
                <w:szCs w:val="20"/>
              </w:rPr>
              <w:t>52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230</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იმერეთი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7</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784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9</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102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-1318</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3</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8</w:t>
            </w:r>
            <w:r>
              <w:rPr>
                <w:rFonts w:ascii="Times New Roman" w:hAnsi="Times New Roman" w:cs="Times New Roman"/>
                <w:bCs/>
                <w:sz w:val="20"/>
                <w:szCs w:val="20"/>
              </w:rPr>
              <w:t>32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1</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450</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კახეთი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4</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870</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5</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099</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-229</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1 936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676</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მცხეთა</w:t>
            </w:r>
            <w:r w:rsidRPr="0074463F">
              <w:rPr>
                <w:rFonts w:ascii="Sylfaen" w:hAnsi="Sylfaen"/>
                <w:sz w:val="20"/>
                <w:szCs w:val="20"/>
              </w:rPr>
              <w:t>-</w:t>
            </w:r>
            <w:r w:rsidRPr="0074463F">
              <w:rPr>
                <w:rFonts w:ascii="Sylfaen" w:hAnsi="Sylfaen" w:cs="Sylfaen"/>
                <w:sz w:val="20"/>
                <w:szCs w:val="20"/>
              </w:rPr>
              <w:t>მთიანეთი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1</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180</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1</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416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-236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567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233</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cs="Sylfaen"/>
                <w:sz w:val="20"/>
                <w:szCs w:val="20"/>
              </w:rPr>
            </w:pPr>
            <w:r w:rsidRPr="0074463F">
              <w:rPr>
                <w:rFonts w:ascii="Sylfaen" w:hAnsi="Sylfaen" w:cs="Sylfaen"/>
                <w:sz w:val="20"/>
                <w:szCs w:val="20"/>
              </w:rPr>
              <w:t>რაჭა</w:t>
            </w:r>
            <w:r w:rsidRPr="0074463F">
              <w:rPr>
                <w:rFonts w:ascii="Sylfaen" w:hAnsi="Sylfaen"/>
                <w:sz w:val="20"/>
                <w:szCs w:val="20"/>
              </w:rPr>
              <w:t>-</w:t>
            </w:r>
            <w:r w:rsidRPr="0074463F">
              <w:rPr>
                <w:rFonts w:ascii="Sylfaen" w:hAnsi="Sylfaen" w:cs="Sylfaen"/>
                <w:sz w:val="20"/>
                <w:szCs w:val="20"/>
              </w:rPr>
              <w:t>ლეჩხუმი</w:t>
            </w:r>
            <w:r w:rsidRPr="0074463F">
              <w:rPr>
                <w:rFonts w:ascii="Sylfaen" w:hAnsi="Sylfaen"/>
                <w:sz w:val="20"/>
                <w:szCs w:val="20"/>
              </w:rPr>
              <w:t xml:space="preserve"> </w:t>
            </w:r>
            <w:r w:rsidRPr="0074463F">
              <w:rPr>
                <w:rFonts w:ascii="Sylfaen" w:hAnsi="Sylfaen" w:cs="Sylfaen"/>
                <w:sz w:val="20"/>
                <w:szCs w:val="20"/>
              </w:rPr>
              <w:t>და</w:t>
            </w:r>
            <w:r w:rsidRPr="0074463F">
              <w:rPr>
                <w:rFonts w:ascii="Sylfaen" w:hAnsi="Sylfaen"/>
                <w:sz w:val="20"/>
                <w:szCs w:val="20"/>
              </w:rPr>
              <w:t xml:space="preserve"> </w:t>
            </w:r>
            <w:r w:rsidRPr="0074463F">
              <w:rPr>
                <w:rFonts w:ascii="Sylfaen" w:hAnsi="Sylfaen" w:cs="Sylfaen"/>
                <w:sz w:val="20"/>
                <w:szCs w:val="20"/>
              </w:rPr>
              <w:t>ქვემო</w:t>
            </w:r>
            <w:r w:rsidRPr="0074463F">
              <w:rPr>
                <w:rFonts w:ascii="Sylfaen" w:hAnsi="Sylfaen"/>
                <w:sz w:val="20"/>
                <w:szCs w:val="20"/>
              </w:rPr>
              <w:t xml:space="preserve"> </w:t>
            </w:r>
            <w:r w:rsidRPr="0074463F">
              <w:rPr>
                <w:rFonts w:ascii="Sylfaen" w:hAnsi="Sylfaen" w:cs="Sylfaen"/>
                <w:sz w:val="20"/>
                <w:szCs w:val="20"/>
              </w:rPr>
              <w:t>სვანეთი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327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823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-496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20</w:t>
            </w:r>
            <w:r>
              <w:rPr>
                <w:rFonts w:ascii="Times New Roman" w:hAnsi="Times New Roman" w:cs="Times New Roman"/>
                <w:bCs/>
                <w:sz w:val="20"/>
                <w:szCs w:val="20"/>
              </w:rPr>
              <w:t>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56</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სამეგრელო</w:t>
            </w:r>
            <w:r w:rsidRPr="0074463F">
              <w:rPr>
                <w:rFonts w:ascii="Sylfaen" w:hAnsi="Sylfaen"/>
                <w:sz w:val="20"/>
                <w:szCs w:val="20"/>
              </w:rPr>
              <w:t>-</w:t>
            </w:r>
            <w:r w:rsidRPr="0074463F">
              <w:rPr>
                <w:rFonts w:ascii="Sylfaen" w:hAnsi="Sylfaen" w:cs="Sylfaen"/>
                <w:sz w:val="20"/>
                <w:szCs w:val="20"/>
              </w:rPr>
              <w:t>ზემო</w:t>
            </w:r>
            <w:r w:rsidRPr="0074463F">
              <w:rPr>
                <w:rFonts w:ascii="Sylfaen" w:hAnsi="Sylfaen"/>
                <w:sz w:val="20"/>
                <w:szCs w:val="20"/>
              </w:rPr>
              <w:t xml:space="preserve"> </w:t>
            </w:r>
            <w:r w:rsidRPr="0074463F">
              <w:rPr>
                <w:rFonts w:ascii="Sylfaen" w:hAnsi="Sylfaen" w:cs="Sylfaen"/>
                <w:sz w:val="20"/>
                <w:szCs w:val="20"/>
              </w:rPr>
              <w:t>სვანეთი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4</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797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5</w:t>
            </w:r>
            <w:r>
              <w:rPr>
                <w:rFonts w:ascii="Sylfaen" w:hAnsi="Sylfaen" w:cs="Times New Roman"/>
                <w:bCs/>
                <w:sz w:val="20"/>
                <w:szCs w:val="20"/>
                <w:lang w:val="ka-GE"/>
              </w:rPr>
              <w:t xml:space="preserve"> </w:t>
            </w:r>
            <w:r w:rsidRPr="00B82AAC">
              <w:rPr>
                <w:rFonts w:ascii="Times New Roman" w:hAnsi="Times New Roman" w:cs="Times New Roman"/>
                <w:bCs/>
                <w:sz w:val="20"/>
                <w:szCs w:val="20"/>
                <w:lang w:val="ka-GE"/>
              </w:rPr>
              <w:t>532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-735</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2</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2</w:t>
            </w:r>
            <w:r>
              <w:rPr>
                <w:rFonts w:ascii="Times New Roman" w:hAnsi="Times New Roman" w:cs="Times New Roman"/>
                <w:bCs/>
                <w:sz w:val="20"/>
                <w:szCs w:val="20"/>
              </w:rPr>
              <w:t>41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72</w:t>
            </w:r>
            <w:r>
              <w:rPr>
                <w:rFonts w:ascii="Times New Roman" w:hAnsi="Times New Roman" w:cs="Times New Roman"/>
                <w:bCs/>
                <w:sz w:val="20"/>
                <w:szCs w:val="20"/>
              </w:rPr>
              <w:t>5</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სამცხე</w:t>
            </w:r>
            <w:r w:rsidRPr="0074463F">
              <w:rPr>
                <w:rFonts w:ascii="Sylfaen" w:hAnsi="Sylfaen"/>
                <w:sz w:val="20"/>
                <w:szCs w:val="20"/>
              </w:rPr>
              <w:t>-</w:t>
            </w:r>
            <w:r w:rsidRPr="0074463F">
              <w:rPr>
                <w:rFonts w:ascii="Sylfaen" w:hAnsi="Sylfaen" w:cs="Sylfaen"/>
                <w:sz w:val="20"/>
                <w:szCs w:val="20"/>
              </w:rPr>
              <w:t>ჯავახეთი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2</w:t>
            </w:r>
            <w:r w:rsidRPr="007157C7">
              <w:rPr>
                <w:rFonts w:ascii="Times New Roman" w:hAnsi="Times New Roman" w:cs="Times New Roman"/>
                <w:bCs/>
                <w:sz w:val="20"/>
                <w:szCs w:val="20"/>
                <w:lang w:val="ka-GE"/>
              </w:rPr>
              <w:t xml:space="preserve"> </w:t>
            </w:r>
            <w:r w:rsidRPr="00B82AAC">
              <w:rPr>
                <w:rFonts w:ascii="Times New Roman" w:hAnsi="Times New Roman" w:cs="Times New Roman"/>
                <w:bCs/>
                <w:sz w:val="20"/>
                <w:szCs w:val="20"/>
                <w:lang w:val="ka-GE"/>
              </w:rPr>
              <w:t>349</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053</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296</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1</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0</w:t>
            </w:r>
            <w:r>
              <w:rPr>
                <w:rFonts w:ascii="Times New Roman" w:hAnsi="Times New Roman" w:cs="Times New Roman"/>
                <w:bCs/>
                <w:sz w:val="20"/>
                <w:szCs w:val="20"/>
              </w:rPr>
              <w:t>71</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202</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ქვემო</w:t>
            </w:r>
            <w:r w:rsidRPr="0074463F">
              <w:rPr>
                <w:rFonts w:ascii="Sylfaen" w:hAnsi="Sylfaen"/>
                <w:sz w:val="20"/>
                <w:szCs w:val="20"/>
              </w:rPr>
              <w:t xml:space="preserve"> </w:t>
            </w:r>
            <w:r w:rsidRPr="0074463F">
              <w:rPr>
                <w:rFonts w:ascii="Sylfaen" w:hAnsi="Sylfaen" w:cs="Sylfaen"/>
                <w:sz w:val="20"/>
                <w:szCs w:val="20"/>
              </w:rPr>
              <w:t>ქართლი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6</w:t>
            </w:r>
            <w:r w:rsidRPr="007157C7">
              <w:rPr>
                <w:rFonts w:ascii="Times New Roman" w:hAnsi="Times New Roman" w:cs="Times New Roman"/>
                <w:bCs/>
                <w:sz w:val="20"/>
                <w:szCs w:val="20"/>
                <w:lang w:val="ka-GE"/>
              </w:rPr>
              <w:t xml:space="preserve"> </w:t>
            </w:r>
            <w:r w:rsidRPr="00B82AAC">
              <w:rPr>
                <w:rFonts w:ascii="Times New Roman" w:hAnsi="Times New Roman" w:cs="Times New Roman"/>
                <w:bCs/>
                <w:sz w:val="20"/>
                <w:szCs w:val="20"/>
                <w:lang w:val="ka-GE"/>
              </w:rPr>
              <w:t>892</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4</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855</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2037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2</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8</w:t>
            </w:r>
            <w:r>
              <w:rPr>
                <w:rFonts w:ascii="Times New Roman" w:hAnsi="Times New Roman" w:cs="Times New Roman"/>
                <w:bCs/>
                <w:sz w:val="20"/>
                <w:szCs w:val="20"/>
              </w:rPr>
              <w:t>67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982</w:t>
            </w:r>
          </w:p>
        </w:tc>
      </w:tr>
      <w:tr w:rsidR="00E45F85" w:rsidRPr="0074463F" w:rsidTr="00FA2BF9">
        <w:trPr>
          <w:trHeight w:val="302"/>
          <w:jc w:val="center"/>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F85" w:rsidRPr="0074463F" w:rsidRDefault="00E45F85" w:rsidP="00817373">
            <w:pPr>
              <w:spacing w:after="0" w:line="240" w:lineRule="auto"/>
              <w:ind w:left="170"/>
              <w:rPr>
                <w:rFonts w:ascii="Sylfaen" w:hAnsi="Sylfaen"/>
                <w:sz w:val="20"/>
                <w:szCs w:val="20"/>
              </w:rPr>
            </w:pPr>
            <w:r w:rsidRPr="0074463F">
              <w:rPr>
                <w:rFonts w:ascii="Sylfaen" w:hAnsi="Sylfaen" w:cs="Sylfaen"/>
                <w:sz w:val="20"/>
                <w:szCs w:val="20"/>
              </w:rPr>
              <w:t>შიდა</w:t>
            </w:r>
            <w:r w:rsidRPr="0074463F">
              <w:rPr>
                <w:rFonts w:ascii="Sylfaen" w:hAnsi="Sylfaen"/>
                <w:sz w:val="20"/>
                <w:szCs w:val="20"/>
              </w:rPr>
              <w:t xml:space="preserve"> </w:t>
            </w:r>
            <w:r w:rsidRPr="0074463F">
              <w:rPr>
                <w:rFonts w:ascii="Sylfaen" w:hAnsi="Sylfaen" w:cs="Sylfaen"/>
                <w:sz w:val="20"/>
                <w:szCs w:val="20"/>
              </w:rPr>
              <w:t>ქართლი</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B82AAC" w:rsidRDefault="00E45F85" w:rsidP="00817373">
            <w:pPr>
              <w:spacing w:after="0" w:line="240" w:lineRule="auto"/>
              <w:jc w:val="right"/>
              <w:rPr>
                <w:rFonts w:ascii="Times New Roman" w:hAnsi="Times New Roman" w:cs="Times New Roman"/>
                <w:bCs/>
                <w:sz w:val="20"/>
                <w:szCs w:val="20"/>
                <w:lang w:val="ka-GE"/>
              </w:rPr>
            </w:pPr>
            <w:r w:rsidRPr="00B82AAC">
              <w:rPr>
                <w:rFonts w:ascii="Times New Roman" w:hAnsi="Times New Roman" w:cs="Times New Roman"/>
                <w:bCs/>
                <w:sz w:val="20"/>
                <w:szCs w:val="20"/>
                <w:lang w:val="ka-GE"/>
              </w:rPr>
              <w:t>4</w:t>
            </w:r>
            <w:r w:rsidRPr="007157C7">
              <w:rPr>
                <w:rFonts w:ascii="Times New Roman" w:hAnsi="Times New Roman" w:cs="Times New Roman"/>
                <w:bCs/>
                <w:sz w:val="20"/>
                <w:szCs w:val="20"/>
                <w:lang w:val="ka-GE"/>
              </w:rPr>
              <w:t xml:space="preserve"> </w:t>
            </w:r>
            <w:r w:rsidRPr="00B82AAC">
              <w:rPr>
                <w:rFonts w:ascii="Times New Roman" w:hAnsi="Times New Roman" w:cs="Times New Roman"/>
                <w:bCs/>
                <w:sz w:val="20"/>
                <w:szCs w:val="20"/>
                <w:lang w:val="ka-GE"/>
              </w:rPr>
              <w:t>074</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3</w:t>
            </w:r>
            <w:r>
              <w:rPr>
                <w:rFonts w:ascii="Sylfaen" w:hAnsi="Sylfaen" w:cs="Times New Roman"/>
                <w:bCs/>
                <w:sz w:val="20"/>
                <w:szCs w:val="20"/>
                <w:lang w:val="ka-GE"/>
              </w:rPr>
              <w:t xml:space="preserve"> </w:t>
            </w:r>
            <w:r w:rsidRPr="007157C7">
              <w:rPr>
                <w:rFonts w:ascii="Times New Roman" w:hAnsi="Times New Roman" w:cs="Times New Roman"/>
                <w:bCs/>
                <w:sz w:val="20"/>
                <w:szCs w:val="20"/>
                <w:lang w:val="ka-GE"/>
              </w:rPr>
              <w:t>717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357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8C2A7C" w:rsidRDefault="00E45F85" w:rsidP="00817373">
            <w:pPr>
              <w:spacing w:after="0" w:line="240" w:lineRule="auto"/>
              <w:jc w:val="right"/>
              <w:rPr>
                <w:rFonts w:ascii="Times New Roman" w:hAnsi="Times New Roman" w:cs="Times New Roman"/>
                <w:bCs/>
                <w:sz w:val="20"/>
                <w:szCs w:val="20"/>
              </w:rPr>
            </w:pPr>
            <w:r w:rsidRPr="007157C7">
              <w:rPr>
                <w:rFonts w:ascii="Times New Roman" w:hAnsi="Times New Roman" w:cs="Times New Roman"/>
                <w:bCs/>
                <w:sz w:val="20"/>
                <w:szCs w:val="20"/>
                <w:lang w:val="ka-GE"/>
              </w:rPr>
              <w:t>1</w:t>
            </w:r>
            <w:r>
              <w:rPr>
                <w:rFonts w:ascii="Sylfaen" w:hAnsi="Sylfaen" w:cs="Times New Roman"/>
                <w:bCs/>
                <w:sz w:val="20"/>
                <w:szCs w:val="20"/>
                <w:lang w:val="ka-GE"/>
              </w:rPr>
              <w:t xml:space="preserve"> </w:t>
            </w:r>
            <w:r>
              <w:rPr>
                <w:rFonts w:ascii="Times New Roman" w:hAnsi="Times New Roman" w:cs="Times New Roman"/>
                <w:bCs/>
                <w:sz w:val="20"/>
                <w:szCs w:val="20"/>
              </w:rPr>
              <w:t>697</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E45F85" w:rsidRPr="007157C7" w:rsidRDefault="00E45F85" w:rsidP="00817373">
            <w:pPr>
              <w:spacing w:after="0" w:line="240" w:lineRule="auto"/>
              <w:jc w:val="right"/>
              <w:rPr>
                <w:rFonts w:ascii="Times New Roman" w:hAnsi="Times New Roman" w:cs="Times New Roman"/>
                <w:bCs/>
                <w:sz w:val="20"/>
                <w:szCs w:val="20"/>
                <w:lang w:val="ka-GE"/>
              </w:rPr>
            </w:pPr>
            <w:r w:rsidRPr="007157C7">
              <w:rPr>
                <w:rFonts w:ascii="Times New Roman" w:hAnsi="Times New Roman" w:cs="Times New Roman"/>
                <w:bCs/>
                <w:sz w:val="20"/>
                <w:szCs w:val="20"/>
                <w:lang w:val="ka-GE"/>
              </w:rPr>
              <w:t>580</w:t>
            </w:r>
          </w:p>
        </w:tc>
      </w:tr>
    </w:tbl>
    <w:p w:rsidR="00E45F85" w:rsidRDefault="00E45F85" w:rsidP="00E45F85">
      <w:pPr>
        <w:spacing w:before="120" w:after="120"/>
        <w:rPr>
          <w:rFonts w:ascii="Sylfaen" w:hAnsi="Sylfaen"/>
          <w:b/>
          <w:sz w:val="24"/>
          <w:szCs w:val="24"/>
        </w:rPr>
      </w:pPr>
    </w:p>
    <w:p w:rsidR="007F668F" w:rsidRDefault="007F668F">
      <w:pPr>
        <w:rPr>
          <w:rFonts w:ascii="Sylfaen" w:hAnsi="Sylfaen"/>
          <w:b/>
          <w:sz w:val="24"/>
          <w:szCs w:val="24"/>
          <w:lang w:val="ka-GE"/>
        </w:rPr>
      </w:pPr>
      <w:r>
        <w:rPr>
          <w:rFonts w:ascii="Sylfaen" w:hAnsi="Sylfaen"/>
          <w:b/>
          <w:sz w:val="24"/>
          <w:szCs w:val="24"/>
          <w:lang w:val="ka-GE"/>
        </w:rPr>
        <w:br w:type="page"/>
      </w:r>
    </w:p>
    <w:p w:rsidR="007C154A" w:rsidRPr="00D91A36" w:rsidRDefault="007C154A" w:rsidP="00E45F85">
      <w:pPr>
        <w:spacing w:before="120" w:after="120"/>
        <w:jc w:val="center"/>
        <w:rPr>
          <w:rFonts w:ascii="Sylfaen" w:hAnsi="Sylfaen"/>
          <w:b/>
          <w:sz w:val="24"/>
          <w:szCs w:val="24"/>
          <w:lang w:val="ka-GE"/>
        </w:rPr>
      </w:pPr>
      <w:r w:rsidRPr="00D91A36">
        <w:rPr>
          <w:rFonts w:ascii="Sylfaen" w:hAnsi="Sylfaen"/>
          <w:b/>
          <w:sz w:val="24"/>
          <w:szCs w:val="24"/>
          <w:lang w:val="ka-GE"/>
        </w:rPr>
        <w:lastRenderedPageBreak/>
        <w:t>დასაქმება და უმუშევრობა</w:t>
      </w:r>
    </w:p>
    <w:p w:rsidR="007C154A" w:rsidRPr="003A3960" w:rsidRDefault="007C154A" w:rsidP="007C154A">
      <w:pPr>
        <w:spacing w:before="120" w:after="120"/>
        <w:jc w:val="center"/>
        <w:rPr>
          <w:rFonts w:ascii="Sylfaen" w:hAnsi="Sylfaen"/>
          <w:b/>
          <w:lang w:val="ka-GE"/>
        </w:rPr>
      </w:pPr>
      <w:r>
        <w:rPr>
          <w:rFonts w:ascii="Sylfaen" w:hAnsi="Sylfaen"/>
          <w:b/>
          <w:lang w:val="ka-GE"/>
        </w:rPr>
        <w:t>201</w:t>
      </w:r>
      <w:r w:rsidR="005A4453">
        <w:rPr>
          <w:rFonts w:ascii="Sylfaen" w:hAnsi="Sylfaen"/>
          <w:b/>
        </w:rPr>
        <w:t>5</w:t>
      </w:r>
      <w:r w:rsidRPr="003A3960">
        <w:rPr>
          <w:rFonts w:ascii="Sylfaen" w:hAnsi="Sylfaen"/>
          <w:b/>
          <w:lang w:val="ka-GE"/>
        </w:rPr>
        <w:t xml:space="preserve"> წელი (წლიური)</w:t>
      </w:r>
    </w:p>
    <w:p w:rsidR="005A4453" w:rsidRPr="00287DCB" w:rsidRDefault="005A4453" w:rsidP="006105B0">
      <w:pPr>
        <w:spacing w:before="120" w:after="120" w:line="312" w:lineRule="auto"/>
        <w:ind w:left="-567"/>
        <w:jc w:val="both"/>
        <w:rPr>
          <w:rFonts w:ascii="Sylfaen" w:hAnsi="Sylfaen"/>
          <w:lang w:val="ka-GE"/>
        </w:rPr>
      </w:pPr>
      <w:r w:rsidRPr="00287DCB">
        <w:rPr>
          <w:rFonts w:ascii="Sylfaen" w:hAnsi="Sylfaen"/>
          <w:lang w:val="ka-GE"/>
        </w:rPr>
        <w:t>201</w:t>
      </w:r>
      <w:r w:rsidRPr="00287DCB">
        <w:rPr>
          <w:rFonts w:ascii="Sylfaen" w:hAnsi="Sylfaen"/>
        </w:rPr>
        <w:t>5</w:t>
      </w:r>
      <w:r w:rsidRPr="00287DCB">
        <w:rPr>
          <w:rFonts w:ascii="Sylfaen" w:hAnsi="Sylfaen"/>
          <w:lang w:val="ka-GE"/>
        </w:rPr>
        <w:t xml:space="preserve"> წელს საქართველოში უმუშევრობის დონე 201</w:t>
      </w:r>
      <w:r w:rsidRPr="00287DCB">
        <w:rPr>
          <w:rFonts w:ascii="Sylfaen" w:hAnsi="Sylfaen"/>
        </w:rPr>
        <w:t>4</w:t>
      </w:r>
      <w:r w:rsidRPr="00287DCB">
        <w:rPr>
          <w:rFonts w:ascii="Sylfaen" w:hAnsi="Sylfaen"/>
          <w:lang w:val="ka-GE"/>
        </w:rPr>
        <w:t xml:space="preserve"> წელთან შედარებით </w:t>
      </w:r>
      <w:r w:rsidRPr="00287DCB">
        <w:rPr>
          <w:rFonts w:ascii="Sylfaen" w:hAnsi="Sylfaen"/>
        </w:rPr>
        <w:t>0.4</w:t>
      </w:r>
      <w:r w:rsidRPr="00287DCB">
        <w:rPr>
          <w:rFonts w:ascii="Sylfaen" w:hAnsi="Sylfaen"/>
          <w:lang w:val="ka-GE"/>
        </w:rPr>
        <w:t xml:space="preserve"> პროცენტული პუნქტით შემცირდა და </w:t>
      </w:r>
      <w:r w:rsidRPr="00287DCB">
        <w:rPr>
          <w:rFonts w:ascii="Sylfaen" w:hAnsi="Sylfaen"/>
        </w:rPr>
        <w:t xml:space="preserve">12.0 </w:t>
      </w:r>
      <w:r w:rsidRPr="00287DCB">
        <w:rPr>
          <w:rFonts w:ascii="Sylfaen" w:hAnsi="Sylfaen"/>
          <w:lang w:val="ka-GE"/>
        </w:rPr>
        <w:t>პროცენტი შეადგინა. უნდა აღინიშნოს, რომ 201</w:t>
      </w:r>
      <w:r w:rsidRPr="00287DCB">
        <w:rPr>
          <w:rFonts w:ascii="Sylfaen" w:hAnsi="Sylfaen"/>
        </w:rPr>
        <w:t>5</w:t>
      </w:r>
      <w:r w:rsidRPr="00287DCB">
        <w:rPr>
          <w:rFonts w:ascii="Sylfaen" w:hAnsi="Sylfaen"/>
          <w:lang w:val="ka-GE"/>
        </w:rPr>
        <w:t xml:space="preserve"> წელს უმუშევრობის დონემ ბოლო 1</w:t>
      </w:r>
      <w:r w:rsidRPr="00287DCB">
        <w:rPr>
          <w:rFonts w:ascii="Sylfaen" w:hAnsi="Sylfaen"/>
        </w:rPr>
        <w:t>2</w:t>
      </w:r>
      <w:r w:rsidRPr="00287DCB">
        <w:rPr>
          <w:rFonts w:ascii="Sylfaen" w:hAnsi="Sylfaen"/>
          <w:lang w:val="ka-GE"/>
        </w:rPr>
        <w:t xml:space="preserve"> წლის მანძილზე ყველაზე დაბალ ნიშნულს მიაღწია.</w:t>
      </w:r>
    </w:p>
    <w:p w:rsidR="00F45710" w:rsidRPr="00287DCB" w:rsidRDefault="00A310F9" w:rsidP="006105B0">
      <w:pPr>
        <w:tabs>
          <w:tab w:val="left" w:pos="8647"/>
        </w:tabs>
        <w:spacing w:after="0" w:line="312" w:lineRule="auto"/>
        <w:rPr>
          <w:rFonts w:ascii="Sylfaen" w:hAnsi="Sylfaen" w:cs="Arial"/>
          <w:b/>
        </w:rPr>
      </w:pPr>
      <w:r w:rsidRPr="00287DCB">
        <w:rPr>
          <w:rFonts w:ascii="Sylfaen" w:hAnsi="Sylfaen" w:cs="Arial"/>
          <w:b/>
          <w:lang w:val="ka-GE"/>
        </w:rPr>
        <w:tab/>
      </w:r>
      <w:r w:rsidR="005A4453" w:rsidRPr="00287DCB">
        <w:rPr>
          <w:rFonts w:ascii="Sylfaen" w:hAnsi="Sylfaen"/>
          <w:noProof/>
        </w:rPr>
        <w:drawing>
          <wp:inline distT="0" distB="0" distL="0" distR="0">
            <wp:extent cx="4569587" cy="2745359"/>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45710" w:rsidRPr="00287DCB" w:rsidRDefault="00F45710" w:rsidP="006105B0">
      <w:pPr>
        <w:spacing w:line="312" w:lineRule="auto"/>
        <w:ind w:firstLine="540"/>
        <w:jc w:val="both"/>
        <w:rPr>
          <w:rFonts w:ascii="Sylfaen" w:hAnsi="Sylfaen" w:cs="Sylfaen"/>
          <w:noProof/>
          <w:color w:val="FF0000"/>
          <w:lang w:val="ka-GE"/>
        </w:rPr>
      </w:pPr>
    </w:p>
    <w:p w:rsidR="005A4453" w:rsidRPr="00287DCB" w:rsidRDefault="005A4453" w:rsidP="006105B0">
      <w:pPr>
        <w:spacing w:before="120" w:after="120" w:line="312" w:lineRule="auto"/>
        <w:ind w:left="-567"/>
        <w:jc w:val="both"/>
        <w:rPr>
          <w:rFonts w:ascii="Sylfaen" w:hAnsi="Sylfaen"/>
          <w:lang w:val="ka-GE"/>
        </w:rPr>
      </w:pPr>
      <w:r w:rsidRPr="00287DCB">
        <w:rPr>
          <w:rFonts w:ascii="Sylfaen" w:hAnsi="Sylfaen"/>
          <w:lang w:val="ka-GE"/>
        </w:rPr>
        <w:t>201</w:t>
      </w:r>
      <w:r w:rsidRPr="00287DCB">
        <w:rPr>
          <w:rFonts w:ascii="Sylfaen" w:hAnsi="Sylfaen"/>
        </w:rPr>
        <w:t>5</w:t>
      </w:r>
      <w:r w:rsidRPr="00287DCB">
        <w:rPr>
          <w:rFonts w:ascii="Sylfaen" w:hAnsi="Sylfaen"/>
          <w:lang w:val="ka-GE"/>
        </w:rPr>
        <w:t xml:space="preserve"> წელს ეკონომიკურად აქტიურმა მოსახლეობამ, შრომისუნარიანი ასაკის მოსახლეობის (15 წლის და უფროსი ასაკის მოსახლეობა) 6</w:t>
      </w:r>
      <w:r w:rsidRPr="00287DCB">
        <w:rPr>
          <w:rFonts w:ascii="Sylfaen" w:hAnsi="Sylfaen"/>
        </w:rPr>
        <w:t>7.8</w:t>
      </w:r>
      <w:r w:rsidRPr="00287DCB">
        <w:rPr>
          <w:rFonts w:ascii="Sylfaen" w:hAnsi="Sylfaen"/>
          <w:lang w:val="ka-GE"/>
        </w:rPr>
        <w:t xml:space="preserve"> პროცენტი შეადგინა. წინა წელთან შედარებით მოსახლეობის აქტიურობის დონე გაიზარდა </w:t>
      </w:r>
      <w:r w:rsidRPr="00287DCB">
        <w:rPr>
          <w:rFonts w:ascii="Sylfaen" w:hAnsi="Sylfaen"/>
        </w:rPr>
        <w:t>1.3</w:t>
      </w:r>
      <w:r w:rsidRPr="00287DCB">
        <w:rPr>
          <w:rFonts w:ascii="Sylfaen" w:hAnsi="Sylfaen"/>
          <w:lang w:val="ka-GE"/>
        </w:rPr>
        <w:t xml:space="preserve"> პროცენტული პუნქტით, ხოლო დასაქმების დონე - 1.</w:t>
      </w:r>
      <w:r w:rsidRPr="00287DCB">
        <w:rPr>
          <w:rFonts w:ascii="Sylfaen" w:hAnsi="Sylfaen"/>
        </w:rPr>
        <w:t>4</w:t>
      </w:r>
      <w:r w:rsidRPr="00287DCB">
        <w:rPr>
          <w:rFonts w:ascii="Sylfaen" w:hAnsi="Sylfaen"/>
          <w:lang w:val="ka-GE"/>
        </w:rPr>
        <w:t xml:space="preserve"> პროცენტული პუნქტით. წინა წელთან შედარებით ქალაქის ტიპის დასახლებებში დასაქმების დონე გაზრდილია 2.3 პროცენტული პუნქტით, ხოლო სოფლის ტიპის დასახლებებში - 0.8 პროცენტული პუნქტით, წინა წელთან შედარებით აქტიურობის დონე ქალაქის ტიპის დასახლებებში გაზრდილია 2</w:t>
      </w:r>
      <w:r w:rsidRPr="00287DCB">
        <w:rPr>
          <w:rFonts w:ascii="Sylfaen" w:hAnsi="Sylfaen"/>
        </w:rPr>
        <w:t>.</w:t>
      </w:r>
      <w:r w:rsidRPr="00287DCB">
        <w:rPr>
          <w:rFonts w:ascii="Sylfaen" w:hAnsi="Sylfaen"/>
          <w:lang w:val="ka-GE"/>
        </w:rPr>
        <w:t>4 პროცენტული პუნქტით, ხოლო სოფლის ტიპის დასახლებებში - 0.</w:t>
      </w:r>
      <w:r w:rsidRPr="00287DCB">
        <w:rPr>
          <w:rFonts w:ascii="Sylfaen" w:hAnsi="Sylfaen"/>
        </w:rPr>
        <w:t>5</w:t>
      </w:r>
      <w:r w:rsidRPr="00287DCB">
        <w:rPr>
          <w:rFonts w:ascii="Sylfaen" w:hAnsi="Sylfaen"/>
          <w:lang w:val="ka-GE"/>
        </w:rPr>
        <w:t xml:space="preserve"> პროცენტული პუნქტით.</w:t>
      </w:r>
    </w:p>
    <w:p w:rsidR="00CB6728" w:rsidRPr="00287DCB" w:rsidRDefault="00A310F9" w:rsidP="006105B0">
      <w:pPr>
        <w:tabs>
          <w:tab w:val="left" w:pos="8647"/>
        </w:tabs>
        <w:spacing w:after="0" w:line="312" w:lineRule="auto"/>
        <w:ind w:left="450" w:hanging="360"/>
        <w:rPr>
          <w:rFonts w:ascii="Sylfaen" w:hAnsi="Sylfaen" w:cs="Arial"/>
          <w:b/>
          <w:color w:val="FF0000"/>
        </w:rPr>
      </w:pPr>
      <w:r w:rsidRPr="00287DCB">
        <w:rPr>
          <w:rFonts w:ascii="Sylfaen" w:hAnsi="Sylfaen" w:cs="Arial"/>
          <w:b/>
          <w:color w:val="FF0000"/>
          <w:lang w:val="ka-GE"/>
        </w:rPr>
        <w:tab/>
      </w:r>
    </w:p>
    <w:p w:rsidR="00CB6728" w:rsidRPr="00287DCB" w:rsidRDefault="00CB6728" w:rsidP="006105B0">
      <w:pPr>
        <w:tabs>
          <w:tab w:val="left" w:pos="8647"/>
        </w:tabs>
        <w:spacing w:after="0" w:line="312" w:lineRule="auto"/>
        <w:ind w:left="450" w:hanging="360"/>
        <w:rPr>
          <w:rFonts w:ascii="Sylfaen" w:hAnsi="Sylfaen" w:cs="Arial"/>
          <w:b/>
          <w:color w:val="FF0000"/>
        </w:rPr>
      </w:pPr>
    </w:p>
    <w:p w:rsidR="00CB6728" w:rsidRPr="00287DCB" w:rsidRDefault="00CB6728" w:rsidP="006105B0">
      <w:pPr>
        <w:tabs>
          <w:tab w:val="left" w:pos="8647"/>
        </w:tabs>
        <w:spacing w:after="0" w:line="312" w:lineRule="auto"/>
        <w:ind w:left="450" w:hanging="360"/>
        <w:rPr>
          <w:rFonts w:ascii="Sylfaen" w:hAnsi="Sylfaen" w:cs="Arial"/>
          <w:b/>
          <w:color w:val="FF0000"/>
        </w:rPr>
      </w:pPr>
    </w:p>
    <w:p w:rsidR="00CB6728" w:rsidRPr="00287DCB" w:rsidRDefault="00CB6728" w:rsidP="006105B0">
      <w:pPr>
        <w:tabs>
          <w:tab w:val="left" w:pos="8647"/>
        </w:tabs>
        <w:spacing w:after="0" w:line="312" w:lineRule="auto"/>
        <w:ind w:left="450" w:hanging="360"/>
        <w:rPr>
          <w:rFonts w:ascii="Sylfaen" w:hAnsi="Sylfaen" w:cs="Arial"/>
          <w:b/>
          <w:color w:val="FF0000"/>
        </w:rPr>
      </w:pPr>
    </w:p>
    <w:p w:rsidR="00CB6728" w:rsidRPr="00287DCB" w:rsidRDefault="00CB6728" w:rsidP="006105B0">
      <w:pPr>
        <w:tabs>
          <w:tab w:val="left" w:pos="8647"/>
        </w:tabs>
        <w:spacing w:after="0" w:line="312" w:lineRule="auto"/>
        <w:ind w:left="450" w:hanging="360"/>
        <w:rPr>
          <w:rFonts w:ascii="Sylfaen" w:hAnsi="Sylfaen" w:cs="Arial"/>
          <w:b/>
          <w:color w:val="FF0000"/>
        </w:rPr>
      </w:pPr>
    </w:p>
    <w:p w:rsidR="00CB6728" w:rsidRPr="00287DCB" w:rsidRDefault="00CB6728" w:rsidP="006105B0">
      <w:pPr>
        <w:tabs>
          <w:tab w:val="left" w:pos="8647"/>
        </w:tabs>
        <w:spacing w:after="0" w:line="312" w:lineRule="auto"/>
        <w:ind w:left="450" w:hanging="360"/>
        <w:rPr>
          <w:rFonts w:ascii="Sylfaen" w:hAnsi="Sylfaen" w:cs="Arial"/>
          <w:b/>
          <w:color w:val="FF0000"/>
        </w:rPr>
      </w:pPr>
    </w:p>
    <w:p w:rsidR="00CB6728" w:rsidRPr="00287DCB" w:rsidRDefault="00CB6728" w:rsidP="006105B0">
      <w:pPr>
        <w:tabs>
          <w:tab w:val="left" w:pos="8647"/>
        </w:tabs>
        <w:spacing w:after="0" w:line="312" w:lineRule="auto"/>
        <w:ind w:left="450" w:hanging="360"/>
        <w:rPr>
          <w:rFonts w:ascii="Sylfaen" w:hAnsi="Sylfaen" w:cs="Arial"/>
          <w:b/>
          <w:color w:val="FF0000"/>
        </w:rPr>
      </w:pPr>
    </w:p>
    <w:p w:rsidR="00CB6728" w:rsidRPr="00287DCB" w:rsidRDefault="00CB6728" w:rsidP="006105B0">
      <w:pPr>
        <w:tabs>
          <w:tab w:val="left" w:pos="8647"/>
        </w:tabs>
        <w:spacing w:after="0" w:line="312" w:lineRule="auto"/>
        <w:ind w:left="450" w:hanging="360"/>
        <w:rPr>
          <w:rFonts w:ascii="Sylfaen" w:hAnsi="Sylfaen" w:cs="Arial"/>
          <w:b/>
          <w:color w:val="FF0000"/>
        </w:rPr>
      </w:pPr>
    </w:p>
    <w:p w:rsidR="00CB6728" w:rsidRPr="00287DCB" w:rsidRDefault="005A4453" w:rsidP="006105B0">
      <w:pPr>
        <w:tabs>
          <w:tab w:val="left" w:pos="8647"/>
        </w:tabs>
        <w:spacing w:after="0" w:line="312" w:lineRule="auto"/>
        <w:ind w:left="450" w:firstLine="401"/>
        <w:rPr>
          <w:rFonts w:ascii="Sylfaen" w:hAnsi="Sylfaen" w:cs="Arial"/>
          <w:b/>
          <w:color w:val="FF0000"/>
        </w:rPr>
      </w:pPr>
      <w:r w:rsidRPr="00287DCB">
        <w:rPr>
          <w:rFonts w:ascii="Sylfaen" w:hAnsi="Sylfaen"/>
          <w:noProof/>
        </w:rPr>
        <w:lastRenderedPageBreak/>
        <w:drawing>
          <wp:inline distT="0" distB="0" distL="0" distR="0">
            <wp:extent cx="4458905" cy="2721282"/>
            <wp:effectExtent l="0" t="0" r="0"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4453" w:rsidRPr="00287DCB" w:rsidRDefault="005A4453" w:rsidP="006105B0">
      <w:pPr>
        <w:spacing w:before="120" w:after="120" w:line="312" w:lineRule="auto"/>
        <w:ind w:left="-567"/>
        <w:jc w:val="both"/>
        <w:rPr>
          <w:rFonts w:ascii="Sylfaen" w:hAnsi="Sylfaen"/>
        </w:rPr>
      </w:pPr>
      <w:r w:rsidRPr="00287DCB">
        <w:rPr>
          <w:rFonts w:ascii="Sylfaen" w:hAnsi="Sylfaen"/>
          <w:lang w:val="ka-GE"/>
        </w:rPr>
        <w:t>ტრადიციულად, დასაქმებულებში ჭარბობს თვითდასაქმებულთა წილი. 2015 წელს 2014 წელთან შედარებით დაქირავებით დასაქმებულთა რაოდენობა გაიზარდა 8.8 პროცენტით, ხოლო თვითდასაქმებულთა რაოდენობა პირიქით 2.7 პროცენტით შემცირდა, რის შედეგადაც დასაქმებულებში დაქირავებულთა წილი 2.7 პროცენტული პუნქტით გაიზარდა.</w:t>
      </w:r>
    </w:p>
    <w:p w:rsidR="00F45710" w:rsidRPr="00287DCB" w:rsidRDefault="005A4453" w:rsidP="006105B0">
      <w:pPr>
        <w:spacing w:before="120" w:after="120" w:line="312" w:lineRule="auto"/>
        <w:ind w:left="851"/>
        <w:jc w:val="both"/>
        <w:rPr>
          <w:rFonts w:ascii="Sylfaen" w:hAnsi="Sylfaen"/>
          <w:color w:val="FF0000"/>
        </w:rPr>
      </w:pPr>
      <w:r w:rsidRPr="00287DCB">
        <w:rPr>
          <w:rFonts w:ascii="Sylfaen" w:hAnsi="Sylfaen"/>
          <w:noProof/>
        </w:rPr>
        <w:drawing>
          <wp:inline distT="0" distB="0" distL="0" distR="0">
            <wp:extent cx="4569587" cy="2745359"/>
            <wp:effectExtent l="0" t="0" r="0" b="0"/>
            <wp:docPr id="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A4453" w:rsidRPr="00287DCB" w:rsidRDefault="005A4453" w:rsidP="006105B0">
      <w:pPr>
        <w:spacing w:before="120" w:after="120" w:line="312" w:lineRule="auto"/>
        <w:ind w:left="-567"/>
        <w:jc w:val="both"/>
        <w:rPr>
          <w:rFonts w:ascii="Sylfaen" w:hAnsi="Sylfaen"/>
          <w:lang w:val="ka-GE"/>
        </w:rPr>
      </w:pPr>
      <w:r w:rsidRPr="00287DCB">
        <w:rPr>
          <w:rFonts w:ascii="Sylfaen" w:hAnsi="Sylfaen"/>
          <w:lang w:val="ka-GE"/>
        </w:rPr>
        <w:t>უმუშევრობის დონე გაცილებით დაბალია სოფლის მოსახლეობაში, ქალაქის მოსახლეობასთან შედარებით. 2015 წელს 2014 წელთან მიმართებაში უმუშევრობის დონის შემცირება დაფიქსირდა, როგორც ქალაქის, ასევე სოფლის ტიპის დასახლებებში და შესაბამისად, 21.5 და 4.8 პროცენტი შეადგინა. ამასთან, ქალაქად უმუშევრობის დონემ მინიმალურ მაჩვენებელს მიაღწია ბოლო 15 წლის, ხოლო სოფლად</w:t>
      </w:r>
      <w:r w:rsidRPr="00287DCB">
        <w:rPr>
          <w:rFonts w:ascii="Sylfaen" w:hAnsi="Sylfaen"/>
        </w:rPr>
        <w:t xml:space="preserve"> -</w:t>
      </w:r>
      <w:r w:rsidRPr="00287DCB">
        <w:rPr>
          <w:rFonts w:ascii="Sylfaen" w:hAnsi="Sylfaen"/>
          <w:lang w:val="ka-GE"/>
        </w:rPr>
        <w:t xml:space="preserve"> ბოლო 9 წლის მანძილზე.</w:t>
      </w:r>
    </w:p>
    <w:p w:rsidR="00F45710" w:rsidRPr="00287DCB" w:rsidRDefault="00D34417" w:rsidP="006105B0">
      <w:pPr>
        <w:spacing w:after="0" w:line="312" w:lineRule="auto"/>
        <w:ind w:left="567"/>
        <w:jc w:val="both"/>
        <w:rPr>
          <w:rFonts w:ascii="Sylfaen" w:hAnsi="Sylfaen"/>
          <w:color w:val="FF0000"/>
          <w:lang w:val="ka-GE"/>
        </w:rPr>
      </w:pPr>
      <w:r w:rsidRPr="00287DCB">
        <w:rPr>
          <w:rFonts w:ascii="Sylfaen" w:hAnsi="Sylfaen"/>
          <w:noProof/>
        </w:rPr>
        <w:lastRenderedPageBreak/>
        <w:drawing>
          <wp:inline distT="0" distB="0" distL="0" distR="0">
            <wp:extent cx="4568721" cy="2783621"/>
            <wp:effectExtent l="0" t="0" r="0" b="0"/>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87DCB" w:rsidRPr="009E327B" w:rsidRDefault="00287DCB" w:rsidP="006105B0">
      <w:pPr>
        <w:spacing w:before="120" w:after="120" w:line="312" w:lineRule="auto"/>
        <w:ind w:left="-567"/>
        <w:jc w:val="both"/>
        <w:rPr>
          <w:rFonts w:ascii="Sylfaen" w:hAnsi="Sylfaen"/>
        </w:rPr>
      </w:pPr>
      <w:r w:rsidRPr="009E327B">
        <w:rPr>
          <w:rFonts w:ascii="Sylfaen" w:hAnsi="Sylfaen"/>
          <w:lang w:val="ka-GE"/>
        </w:rPr>
        <w:t>წინა წელთან შედარებით უმუშევრობის დონე რეგიონულ ჭრილში გაზრდილია მხოლოდ შიდა ქართლის და კახეთის რეგიონებში, შესაბამისად 0.8 და 0.7 პროცენტული პუნქტით. თბილისში, სადაც უმუშევრობის დონე ყველაზე მაღალია, აღნიშნული მაჩვენებელი 1.1 პროცენტული პუნქტით არის შემცირებული.</w:t>
      </w:r>
    </w:p>
    <w:p w:rsidR="00AA0D97" w:rsidRPr="009E327B" w:rsidRDefault="00A310F9" w:rsidP="006105B0">
      <w:pPr>
        <w:tabs>
          <w:tab w:val="left" w:pos="8647"/>
        </w:tabs>
        <w:spacing w:after="0" w:line="312" w:lineRule="auto"/>
        <w:ind w:left="450" w:hanging="360"/>
        <w:rPr>
          <w:rFonts w:ascii="Sylfaen" w:hAnsi="Sylfaen" w:cs="Arial"/>
          <w:b/>
          <w:color w:val="FF0000"/>
        </w:rPr>
      </w:pPr>
      <w:r w:rsidRPr="009E327B">
        <w:rPr>
          <w:rFonts w:ascii="Sylfaen" w:hAnsi="Sylfaen" w:cs="Arial"/>
          <w:b/>
          <w:color w:val="FF0000"/>
          <w:lang w:val="ka-GE"/>
        </w:rPr>
        <w:tab/>
      </w:r>
      <w:r w:rsidR="00287DCB" w:rsidRPr="009E327B">
        <w:rPr>
          <w:rFonts w:ascii="Sylfaen" w:hAnsi="Sylfaen"/>
          <w:noProof/>
        </w:rPr>
        <w:drawing>
          <wp:inline distT="0" distB="0" distL="0" distR="0">
            <wp:extent cx="4569587" cy="2745359"/>
            <wp:effectExtent l="0" t="0" r="0" b="0"/>
            <wp:docPr id="1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11007" w:rsidRPr="009E327B" w:rsidRDefault="00811007" w:rsidP="006105B0">
      <w:pPr>
        <w:spacing w:before="120" w:after="120" w:line="312" w:lineRule="auto"/>
        <w:ind w:left="567"/>
        <w:jc w:val="both"/>
        <w:rPr>
          <w:rFonts w:ascii="Sylfaen" w:hAnsi="Sylfaen" w:cs="Arial"/>
          <w:lang w:val="ka-GE"/>
        </w:rPr>
      </w:pPr>
      <w:r w:rsidRPr="009E327B">
        <w:rPr>
          <w:rFonts w:ascii="Sylfaen" w:hAnsi="Sylfaen" w:cs="Arial"/>
          <w:lang w:val="ka-GE"/>
        </w:rPr>
        <w:t>*სამცხე-ჯავახეთი, გურია, მცხეთა-მთიანეთი</w:t>
      </w:r>
    </w:p>
    <w:p w:rsidR="00DD6E57" w:rsidRPr="009E327B" w:rsidRDefault="00DD6E57" w:rsidP="006105B0">
      <w:pPr>
        <w:tabs>
          <w:tab w:val="left" w:pos="8647"/>
        </w:tabs>
        <w:spacing w:after="0" w:line="312" w:lineRule="auto"/>
        <w:ind w:left="90" w:firstLine="450"/>
        <w:jc w:val="both"/>
        <w:rPr>
          <w:rFonts w:ascii="Sylfaen" w:hAnsi="Sylfaen"/>
        </w:rPr>
      </w:pPr>
    </w:p>
    <w:p w:rsidR="00287DCB" w:rsidRPr="009E327B" w:rsidRDefault="00287DCB" w:rsidP="006105B0">
      <w:pPr>
        <w:spacing w:before="120" w:after="120" w:line="312" w:lineRule="auto"/>
        <w:ind w:left="-567"/>
        <w:jc w:val="both"/>
        <w:rPr>
          <w:rFonts w:ascii="Sylfaen" w:hAnsi="Sylfaen"/>
          <w:lang w:val="ka-GE"/>
        </w:rPr>
      </w:pPr>
      <w:r w:rsidRPr="009E327B">
        <w:rPr>
          <w:rFonts w:ascii="Sylfaen" w:hAnsi="Sylfaen"/>
          <w:lang w:val="ka-GE"/>
        </w:rPr>
        <w:t xml:space="preserve">დასაქმებისა და უმუშევრობის მაჩვენებლების სქესობრივ ჭრილში განხილვისას აღსანიშნავია, რომ 2015 წელს 2014 წელთან შედარებით უმუშევრობის დონე შემცირდა როგორც ქალებში (0.2 პროცენტული პუნქტით), ასევე კაცებში (0.5 პროცენტული პუნქტით) და შესაბამისად 10.2 (მინიმალური მაჩვენებელი ბოლო 15 წლის მანძილზე) და 13.5 პროცენტი (მინიმალური მაჩვენებელი ბოლო 11 წლის მანძილზე) შეადგინა. ტრადიციულად კაცებში უმუშევრობის დონე უფრო მაღალია ქალებთან შედარებით. ამის ძირითადი მიზეზია ის, რომ დაუსაქმებელი ქალების უმრავლესობა არააქტიური მოსახლეობის კატეგორიას მიეკუთვნება. ქალებში </w:t>
      </w:r>
      <w:r w:rsidRPr="009E327B">
        <w:rPr>
          <w:rFonts w:ascii="Sylfaen" w:hAnsi="Sylfaen"/>
          <w:lang w:val="ka-GE"/>
        </w:rPr>
        <w:lastRenderedPageBreak/>
        <w:t>არააქტიურობის დონე თითქმის ორჯერ აღემატება კაცებში ანალოგიურ მაჩვენებელს (შესაბამისად 41.1 და 21.9 პროცენტი). ამგვარად, კაცებთან შედარებით ქალებში დაბალია როგორც აქტიურობის, ასევე დასაქმების დონე.</w:t>
      </w:r>
    </w:p>
    <w:p w:rsidR="00811007" w:rsidRPr="009E327B" w:rsidRDefault="00287DCB" w:rsidP="006105B0">
      <w:pPr>
        <w:spacing w:before="120" w:after="120" w:line="312" w:lineRule="auto"/>
        <w:ind w:left="567"/>
        <w:jc w:val="both"/>
        <w:rPr>
          <w:rFonts w:ascii="Sylfaen" w:hAnsi="Sylfaen"/>
          <w:color w:val="FF0000"/>
        </w:rPr>
      </w:pPr>
      <w:r w:rsidRPr="009E327B">
        <w:rPr>
          <w:rFonts w:ascii="Sylfaen" w:hAnsi="Sylfaen"/>
          <w:noProof/>
        </w:rPr>
        <w:drawing>
          <wp:inline distT="0" distB="0" distL="0" distR="0">
            <wp:extent cx="4413504" cy="2745359"/>
            <wp:effectExtent l="0" t="0" r="0" b="0"/>
            <wp:docPr id="2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87DCB" w:rsidRPr="009E327B" w:rsidRDefault="00287DCB" w:rsidP="006105B0">
      <w:pPr>
        <w:spacing w:before="120" w:after="120" w:line="312" w:lineRule="auto"/>
        <w:ind w:left="-567"/>
        <w:jc w:val="both"/>
        <w:rPr>
          <w:rFonts w:ascii="Sylfaen" w:hAnsi="Sylfaen"/>
          <w:lang w:val="ka-GE"/>
        </w:rPr>
      </w:pPr>
      <w:r w:rsidRPr="009E327B">
        <w:rPr>
          <w:rFonts w:ascii="Sylfaen" w:hAnsi="Sylfaen"/>
          <w:lang w:val="ka-GE"/>
        </w:rPr>
        <w:t>2015 წელს 2014 წელთან შედარებით აქტიურობის დონე ქალებში გაიზარდა 1.8 პროცენტული პუნქტით, ხოლო კაცებში 0.7 პროცენტული პუნქტით და შესაბამისად 58.9 და 78.1 პროცენტი შეადგინა.</w:t>
      </w:r>
    </w:p>
    <w:p w:rsidR="00811007" w:rsidRPr="009E327B" w:rsidRDefault="00287DCB" w:rsidP="006105B0">
      <w:pPr>
        <w:spacing w:before="120" w:after="120" w:line="312" w:lineRule="auto"/>
        <w:ind w:left="709"/>
        <w:jc w:val="both"/>
        <w:rPr>
          <w:rFonts w:ascii="Sylfaen" w:hAnsi="Sylfaen"/>
          <w:color w:val="FF0000"/>
        </w:rPr>
      </w:pPr>
      <w:r w:rsidRPr="009E327B">
        <w:rPr>
          <w:rFonts w:ascii="Sylfaen" w:hAnsi="Sylfaen"/>
          <w:noProof/>
        </w:rPr>
        <w:drawing>
          <wp:inline distT="0" distB="0" distL="0" distR="0">
            <wp:extent cx="4523105" cy="2745359"/>
            <wp:effectExtent l="0" t="0" r="0" b="0"/>
            <wp:docPr id="21"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87DCB" w:rsidRPr="009E327B" w:rsidRDefault="00287DCB" w:rsidP="006105B0">
      <w:pPr>
        <w:spacing w:before="120" w:after="120" w:line="312" w:lineRule="auto"/>
        <w:ind w:left="-567"/>
        <w:jc w:val="both"/>
        <w:rPr>
          <w:rFonts w:ascii="Sylfaen" w:hAnsi="Sylfaen"/>
        </w:rPr>
      </w:pPr>
      <w:r w:rsidRPr="009E327B">
        <w:rPr>
          <w:rFonts w:ascii="Sylfaen" w:hAnsi="Sylfaen"/>
          <w:lang w:val="ka-GE"/>
        </w:rPr>
        <w:t>2015 წელს 2014 წელთან შედარებით ქალებში დასაქმების დონე გაიზარდა 1.8 პროცენტული პუნქტით, ხოლო კაცებში 1.0 პროცენტული პუნქტით და შესაბამისად 52.9 და 67.6 პროცენტი შეადგინა</w:t>
      </w:r>
      <w:r w:rsidRPr="009E327B">
        <w:rPr>
          <w:rFonts w:ascii="Sylfaen" w:hAnsi="Sylfaen"/>
        </w:rPr>
        <w:t>.</w:t>
      </w:r>
    </w:p>
    <w:p w:rsidR="00811007" w:rsidRPr="009E327B" w:rsidRDefault="00287DCB" w:rsidP="006105B0">
      <w:pPr>
        <w:tabs>
          <w:tab w:val="left" w:pos="426"/>
        </w:tabs>
        <w:spacing w:before="120" w:after="120" w:line="312" w:lineRule="auto"/>
        <w:ind w:left="426"/>
        <w:jc w:val="both"/>
        <w:rPr>
          <w:rFonts w:ascii="Sylfaen" w:hAnsi="Sylfaen"/>
          <w:color w:val="FF0000"/>
        </w:rPr>
      </w:pPr>
      <w:r w:rsidRPr="009E327B">
        <w:rPr>
          <w:rFonts w:ascii="Sylfaen" w:hAnsi="Sylfaen"/>
          <w:noProof/>
        </w:rPr>
        <w:lastRenderedPageBreak/>
        <w:drawing>
          <wp:inline distT="0" distB="0" distL="0" distR="0">
            <wp:extent cx="4591015" cy="2745359"/>
            <wp:effectExtent l="0" t="0" r="0" b="0"/>
            <wp:docPr id="2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D6EAA" w:rsidRPr="009E327B" w:rsidRDefault="001D6EAA" w:rsidP="006105B0">
      <w:pPr>
        <w:spacing w:before="120" w:after="120" w:line="312" w:lineRule="auto"/>
        <w:ind w:left="-567"/>
        <w:jc w:val="both"/>
        <w:rPr>
          <w:rFonts w:ascii="Sylfaen" w:hAnsi="Sylfaen"/>
          <w:lang w:val="ka-GE"/>
        </w:rPr>
      </w:pPr>
      <w:r w:rsidRPr="009E327B">
        <w:rPr>
          <w:rFonts w:ascii="Sylfaen" w:hAnsi="Sylfaen"/>
          <w:lang w:val="ka-GE"/>
        </w:rPr>
        <w:t xml:space="preserve">უმუშევრობის დონის განხილვა ასაკობრივ ჭრილში გვიჩვენებს, რომ 2015 წელს უმუშევრობის დონემ ყველაზე მაღალ ნიშნულს 20-24 წლის ასაკობრივ ჯგუფში მიაღწია (32.0 პროცენტი), რაც 1.5 პროცენტული პუნქტით მაღალია 2014 წლის მაჩვენებელთან შედარებით. </w:t>
      </w:r>
    </w:p>
    <w:p w:rsidR="009E327B" w:rsidRDefault="001D6EAA" w:rsidP="006105B0">
      <w:pPr>
        <w:spacing w:before="120" w:after="120" w:line="312" w:lineRule="auto"/>
        <w:ind w:firstLine="709"/>
        <w:jc w:val="both"/>
        <w:rPr>
          <w:rFonts w:ascii="Sylfaen" w:hAnsi="Sylfaen"/>
        </w:rPr>
      </w:pPr>
      <w:r w:rsidRPr="009E327B">
        <w:rPr>
          <w:rFonts w:ascii="Sylfaen" w:hAnsi="Sylfaen"/>
          <w:noProof/>
        </w:rPr>
        <w:drawing>
          <wp:inline distT="0" distB="0" distL="0" distR="0">
            <wp:extent cx="4500875" cy="3587295"/>
            <wp:effectExtent l="0" t="0" r="0" b="0"/>
            <wp:docPr id="2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D6EAA" w:rsidRPr="009E327B" w:rsidRDefault="001D6EAA" w:rsidP="006105B0">
      <w:pPr>
        <w:spacing w:before="120" w:after="120" w:line="312" w:lineRule="auto"/>
        <w:ind w:left="-567"/>
        <w:jc w:val="both"/>
        <w:rPr>
          <w:rFonts w:ascii="Sylfaen" w:hAnsi="Sylfaen"/>
          <w:lang w:val="ka-GE"/>
        </w:rPr>
      </w:pPr>
      <w:r w:rsidRPr="009E327B">
        <w:rPr>
          <w:rFonts w:ascii="Sylfaen" w:hAnsi="Sylfaen"/>
          <w:lang w:val="ka-GE"/>
        </w:rPr>
        <w:t>უმუშევრობის დონე ტრადიციულად ყველაზე დაბალია 65+ ასაკობრივ ჯგუფში. ამის მიზეზია ის, რომ 65+ საპენსიო ასაკია და მოსახლეობის დიდი ნაწილი არ არის დასაქმებული, არ ეძებს სამუშაოს და შესაბამისად, არააქტიური მოსახლეობის კატეგორიას მიეკუთვნება.</w:t>
      </w:r>
    </w:p>
    <w:p w:rsidR="00811007" w:rsidRPr="009E327B" w:rsidRDefault="009E327B" w:rsidP="001D6EAA">
      <w:pPr>
        <w:tabs>
          <w:tab w:val="left" w:pos="8647"/>
        </w:tabs>
        <w:spacing w:after="0" w:line="360" w:lineRule="auto"/>
        <w:ind w:left="900" w:hanging="360"/>
        <w:rPr>
          <w:rFonts w:ascii="Sylfaen" w:hAnsi="Sylfaen" w:cs="Sylfaen"/>
          <w:noProof/>
          <w:color w:val="FF0000"/>
        </w:rPr>
      </w:pPr>
      <w:r w:rsidRPr="009E327B">
        <w:rPr>
          <w:rFonts w:ascii="Sylfaen" w:hAnsi="Sylfaen"/>
          <w:noProof/>
        </w:rPr>
        <w:lastRenderedPageBreak/>
        <w:drawing>
          <wp:inline distT="0" distB="0" distL="0" distR="0">
            <wp:extent cx="4569599" cy="2745362"/>
            <wp:effectExtent l="0" t="0" r="0" b="0"/>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sectPr w:rsidR="00811007" w:rsidRPr="009E327B" w:rsidSect="00647618">
      <w:pgSz w:w="11909" w:h="16834" w:code="9"/>
      <w:pgMar w:top="1138" w:right="1019" w:bottom="1138"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890" w:rsidRDefault="00656890" w:rsidP="00E349F7">
      <w:pPr>
        <w:spacing w:after="0" w:line="240" w:lineRule="auto"/>
      </w:pPr>
      <w:r>
        <w:separator/>
      </w:r>
    </w:p>
  </w:endnote>
  <w:endnote w:type="continuationSeparator" w:id="1">
    <w:p w:rsidR="00656890" w:rsidRDefault="00656890" w:rsidP="00E34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iterMtavr">
    <w:panose1 w:val="00000000000000000000"/>
    <w:charset w:val="00"/>
    <w:family w:val="auto"/>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iterNusx">
    <w:panose1 w:val="00000000000000000000"/>
    <w:charset w:val="00"/>
    <w:family w:val="auto"/>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890" w:rsidRDefault="00656890" w:rsidP="00E349F7">
      <w:pPr>
        <w:spacing w:after="0" w:line="240" w:lineRule="auto"/>
      </w:pPr>
      <w:r>
        <w:separator/>
      </w:r>
    </w:p>
  </w:footnote>
  <w:footnote w:type="continuationSeparator" w:id="1">
    <w:p w:rsidR="00656890" w:rsidRDefault="00656890" w:rsidP="00E349F7">
      <w:pPr>
        <w:spacing w:after="0" w:line="240" w:lineRule="auto"/>
      </w:pPr>
      <w:r>
        <w:continuationSeparator/>
      </w:r>
    </w:p>
  </w:footnote>
  <w:footnote w:id="2">
    <w:p w:rsidR="000156B1" w:rsidRPr="00737CDA" w:rsidRDefault="000156B1" w:rsidP="000156B1">
      <w:pPr>
        <w:pStyle w:val="FootnoteText"/>
        <w:jc w:val="both"/>
        <w:rPr>
          <w:lang w:val="ka-GE"/>
        </w:rPr>
      </w:pPr>
      <w:r w:rsidRPr="00737CDA">
        <w:rPr>
          <w:rStyle w:val="FootnoteReference"/>
          <w:sz w:val="24"/>
          <w:lang w:val="ka-GE"/>
        </w:rPr>
        <w:t>*</w:t>
      </w:r>
      <w:r>
        <w:rPr>
          <w:rFonts w:ascii="Sylfaen" w:hAnsi="Sylfaen"/>
          <w:sz w:val="16"/>
          <w:szCs w:val="16"/>
          <w:lang w:val="ka-GE"/>
        </w:rPr>
        <w:t>რიცხვების დამრგვალების გამო ცალკეული</w:t>
      </w:r>
      <w:r w:rsidRPr="00C72BA9">
        <w:rPr>
          <w:rFonts w:ascii="AcadNusx" w:hAnsi="AcadNusx"/>
          <w:sz w:val="16"/>
          <w:szCs w:val="16"/>
          <w:lang w:val="ka-GE"/>
        </w:rPr>
        <w:t xml:space="preserve"> </w:t>
      </w:r>
      <w:r>
        <w:rPr>
          <w:rFonts w:ascii="Sylfaen" w:hAnsi="Sylfaen"/>
          <w:sz w:val="16"/>
          <w:szCs w:val="16"/>
          <w:lang w:val="ka-GE"/>
        </w:rPr>
        <w:t>ჯგუფების ჯამი შესაძლოა არ უდრიდეს ინფლაციის მთლიან მაჩვენებელს.</w:t>
      </w:r>
    </w:p>
    <w:p w:rsidR="000156B1" w:rsidRPr="000156B1" w:rsidRDefault="000156B1" w:rsidP="000156B1">
      <w:pPr>
        <w:pStyle w:val="FootnoteText"/>
        <w:rPr>
          <w:rFonts w:ascii="Sylfaen" w:hAnsi="Sylfaen"/>
        </w:rPr>
      </w:pPr>
    </w:p>
  </w:footnote>
  <w:footnote w:id="3">
    <w:p w:rsidR="00E45F85" w:rsidRPr="00DE0FB3" w:rsidRDefault="00E45F85" w:rsidP="00E45F85">
      <w:pPr>
        <w:pStyle w:val="FootnoteText"/>
        <w:rPr>
          <w:rFonts w:ascii="Sylfaen" w:hAnsi="Sylfaen"/>
        </w:rPr>
      </w:pPr>
      <w:r w:rsidRPr="00CA76D4">
        <w:rPr>
          <w:rStyle w:val="FootnoteReference"/>
        </w:rPr>
        <w:sym w:font="Symbol" w:char="F02A"/>
      </w:r>
      <w:r>
        <w:t xml:space="preserve"> ... - </w:t>
      </w:r>
      <w:r w:rsidRPr="0035449E">
        <w:rPr>
          <w:rFonts w:ascii="Sylfaen" w:hAnsi="Sylfaen"/>
          <w:sz w:val="18"/>
          <w:szCs w:val="18"/>
          <w:lang w:val="ka-GE"/>
        </w:rPr>
        <w:t>მონაცემები არ არსებობს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8003F"/>
    <w:multiLevelType w:val="hybridMultilevel"/>
    <w:tmpl w:val="44E215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FE40E3"/>
    <w:multiLevelType w:val="hybridMultilevel"/>
    <w:tmpl w:val="FD1E3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9F47A4"/>
    <w:multiLevelType w:val="hybridMultilevel"/>
    <w:tmpl w:val="426EC100"/>
    <w:lvl w:ilvl="0" w:tplc="0F9AD256">
      <w:start w:val="1"/>
      <w:numFmt w:val="bullet"/>
      <w:lvlText w:val=""/>
      <w:lvlJc w:val="left"/>
      <w:pPr>
        <w:ind w:left="1440" w:hanging="360"/>
      </w:pPr>
      <w:rPr>
        <w:rFonts w:ascii="Symbol" w:hAnsi="Symbol" w:cs="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8F5F11"/>
    <w:multiLevelType w:val="hybridMultilevel"/>
    <w:tmpl w:val="98DEF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322C03"/>
    <w:multiLevelType w:val="hybridMultilevel"/>
    <w:tmpl w:val="56CC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650565"/>
    <w:multiLevelType w:val="hybridMultilevel"/>
    <w:tmpl w:val="66C4C93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550F6801"/>
    <w:multiLevelType w:val="hybridMultilevel"/>
    <w:tmpl w:val="91248920"/>
    <w:lvl w:ilvl="0" w:tplc="04090005">
      <w:start w:val="1"/>
      <w:numFmt w:val="bullet"/>
      <w:lvlText w:val=""/>
      <w:lvlJc w:val="left"/>
      <w:pPr>
        <w:ind w:left="1440" w:hanging="360"/>
      </w:pPr>
      <w:rPr>
        <w:rFonts w:ascii="Wingdings" w:hAnsi="Wingdings"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BF0D14"/>
    <w:multiLevelType w:val="hybridMultilevel"/>
    <w:tmpl w:val="C576CC74"/>
    <w:lvl w:ilvl="0" w:tplc="0F9AD256">
      <w:start w:val="1"/>
      <w:numFmt w:val="bullet"/>
      <w:lvlText w:val=""/>
      <w:lvlJc w:val="left"/>
      <w:pPr>
        <w:ind w:left="1440" w:hanging="360"/>
      </w:pPr>
      <w:rPr>
        <w:rFonts w:ascii="Symbol" w:hAnsi="Symbol" w:cs="Symbol"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866801"/>
    <w:multiLevelType w:val="hybridMultilevel"/>
    <w:tmpl w:val="5992A7F8"/>
    <w:lvl w:ilvl="0" w:tplc="04090005">
      <w:start w:val="1"/>
      <w:numFmt w:val="bullet"/>
      <w:lvlText w:val=""/>
      <w:lvlJc w:val="left"/>
      <w:pPr>
        <w:ind w:left="1440" w:hanging="360"/>
      </w:pPr>
      <w:rPr>
        <w:rFonts w:ascii="Wingdings" w:hAnsi="Wingdings" w:hint="default"/>
        <w:sz w:val="22"/>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F332DD"/>
    <w:multiLevelType w:val="hybridMultilevel"/>
    <w:tmpl w:val="947CF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2"/>
  </w:num>
  <w:num w:numId="5">
    <w:abstractNumId w:val="8"/>
  </w:num>
  <w:num w:numId="6">
    <w:abstractNumId w:val="6"/>
  </w:num>
  <w:num w:numId="7">
    <w:abstractNumId w:val="5"/>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4514"/>
  </w:hdrShapeDefaults>
  <w:footnotePr>
    <w:footnote w:id="0"/>
    <w:footnote w:id="1"/>
  </w:footnotePr>
  <w:endnotePr>
    <w:endnote w:id="0"/>
    <w:endnote w:id="1"/>
  </w:endnotePr>
  <w:compat/>
  <w:rsids>
    <w:rsidRoot w:val="007819D8"/>
    <w:rsid w:val="000156B1"/>
    <w:rsid w:val="000271CF"/>
    <w:rsid w:val="00030D66"/>
    <w:rsid w:val="00036365"/>
    <w:rsid w:val="00045CE4"/>
    <w:rsid w:val="000473DB"/>
    <w:rsid w:val="00090E3A"/>
    <w:rsid w:val="00092F08"/>
    <w:rsid w:val="000A7E9E"/>
    <w:rsid w:val="000B771F"/>
    <w:rsid w:val="000C464B"/>
    <w:rsid w:val="000F151C"/>
    <w:rsid w:val="000F7E03"/>
    <w:rsid w:val="0011307C"/>
    <w:rsid w:val="001627B7"/>
    <w:rsid w:val="00181030"/>
    <w:rsid w:val="00192D0A"/>
    <w:rsid w:val="001B41F2"/>
    <w:rsid w:val="001D6EAA"/>
    <w:rsid w:val="00215E84"/>
    <w:rsid w:val="00221A0C"/>
    <w:rsid w:val="00237E37"/>
    <w:rsid w:val="002579C7"/>
    <w:rsid w:val="00263937"/>
    <w:rsid w:val="00263E15"/>
    <w:rsid w:val="00266D3D"/>
    <w:rsid w:val="00266E11"/>
    <w:rsid w:val="00271E94"/>
    <w:rsid w:val="0027718A"/>
    <w:rsid w:val="00287DCB"/>
    <w:rsid w:val="002F0D51"/>
    <w:rsid w:val="002F70AF"/>
    <w:rsid w:val="00310106"/>
    <w:rsid w:val="0031016B"/>
    <w:rsid w:val="00333934"/>
    <w:rsid w:val="00336EAE"/>
    <w:rsid w:val="003460AD"/>
    <w:rsid w:val="00366CDA"/>
    <w:rsid w:val="003D0432"/>
    <w:rsid w:val="003D1008"/>
    <w:rsid w:val="00406F86"/>
    <w:rsid w:val="00421345"/>
    <w:rsid w:val="00422090"/>
    <w:rsid w:val="00422F19"/>
    <w:rsid w:val="004427B0"/>
    <w:rsid w:val="004628B8"/>
    <w:rsid w:val="00463871"/>
    <w:rsid w:val="00467807"/>
    <w:rsid w:val="00484D50"/>
    <w:rsid w:val="0049606A"/>
    <w:rsid w:val="004A0942"/>
    <w:rsid w:val="004A3A5D"/>
    <w:rsid w:val="004A3D30"/>
    <w:rsid w:val="004A7BC6"/>
    <w:rsid w:val="004B42E1"/>
    <w:rsid w:val="004C163F"/>
    <w:rsid w:val="005032E7"/>
    <w:rsid w:val="00510DE2"/>
    <w:rsid w:val="00531E4E"/>
    <w:rsid w:val="00533135"/>
    <w:rsid w:val="00544AA7"/>
    <w:rsid w:val="00554308"/>
    <w:rsid w:val="00580A70"/>
    <w:rsid w:val="005973FB"/>
    <w:rsid w:val="005A0A1D"/>
    <w:rsid w:val="005A2D21"/>
    <w:rsid w:val="005A4453"/>
    <w:rsid w:val="005B0150"/>
    <w:rsid w:val="005B47FA"/>
    <w:rsid w:val="005C0E18"/>
    <w:rsid w:val="005F36C0"/>
    <w:rsid w:val="006105B0"/>
    <w:rsid w:val="00615567"/>
    <w:rsid w:val="0062588E"/>
    <w:rsid w:val="00647618"/>
    <w:rsid w:val="006522FF"/>
    <w:rsid w:val="00656890"/>
    <w:rsid w:val="00684DC5"/>
    <w:rsid w:val="00690475"/>
    <w:rsid w:val="006E69C0"/>
    <w:rsid w:val="006F1A72"/>
    <w:rsid w:val="006F2086"/>
    <w:rsid w:val="007214C1"/>
    <w:rsid w:val="00726B28"/>
    <w:rsid w:val="0075491A"/>
    <w:rsid w:val="0075493A"/>
    <w:rsid w:val="00775F3C"/>
    <w:rsid w:val="007819D8"/>
    <w:rsid w:val="00782D2C"/>
    <w:rsid w:val="00785353"/>
    <w:rsid w:val="00785E2F"/>
    <w:rsid w:val="007B25B9"/>
    <w:rsid w:val="007C154A"/>
    <w:rsid w:val="007D26D3"/>
    <w:rsid w:val="007D2E0A"/>
    <w:rsid w:val="007E44B1"/>
    <w:rsid w:val="007F3CFD"/>
    <w:rsid w:val="007F668F"/>
    <w:rsid w:val="00806435"/>
    <w:rsid w:val="00811007"/>
    <w:rsid w:val="00830537"/>
    <w:rsid w:val="00846D1D"/>
    <w:rsid w:val="00864AC0"/>
    <w:rsid w:val="00881726"/>
    <w:rsid w:val="0089034D"/>
    <w:rsid w:val="008B603E"/>
    <w:rsid w:val="008C1093"/>
    <w:rsid w:val="008D4B1D"/>
    <w:rsid w:val="008E4A6F"/>
    <w:rsid w:val="008F1176"/>
    <w:rsid w:val="009332C4"/>
    <w:rsid w:val="009334D4"/>
    <w:rsid w:val="00952107"/>
    <w:rsid w:val="00953FEA"/>
    <w:rsid w:val="00991EFB"/>
    <w:rsid w:val="009D1267"/>
    <w:rsid w:val="009D24D1"/>
    <w:rsid w:val="009D6EB7"/>
    <w:rsid w:val="009E327B"/>
    <w:rsid w:val="009F60B4"/>
    <w:rsid w:val="00A307E0"/>
    <w:rsid w:val="00A310F9"/>
    <w:rsid w:val="00A33D36"/>
    <w:rsid w:val="00A344A0"/>
    <w:rsid w:val="00A4618C"/>
    <w:rsid w:val="00A51510"/>
    <w:rsid w:val="00A55864"/>
    <w:rsid w:val="00A57366"/>
    <w:rsid w:val="00A617DF"/>
    <w:rsid w:val="00A91726"/>
    <w:rsid w:val="00AA041B"/>
    <w:rsid w:val="00AA0D97"/>
    <w:rsid w:val="00AA51EB"/>
    <w:rsid w:val="00AA5859"/>
    <w:rsid w:val="00AB4D8B"/>
    <w:rsid w:val="00AB66E0"/>
    <w:rsid w:val="00AC3492"/>
    <w:rsid w:val="00AC5678"/>
    <w:rsid w:val="00AE2627"/>
    <w:rsid w:val="00AE38A6"/>
    <w:rsid w:val="00AE3AF6"/>
    <w:rsid w:val="00AF3FB1"/>
    <w:rsid w:val="00AF6CDE"/>
    <w:rsid w:val="00B2530B"/>
    <w:rsid w:val="00B90FC8"/>
    <w:rsid w:val="00BA0625"/>
    <w:rsid w:val="00BC1AF3"/>
    <w:rsid w:val="00BC4B51"/>
    <w:rsid w:val="00BD0091"/>
    <w:rsid w:val="00BF59FD"/>
    <w:rsid w:val="00C2097F"/>
    <w:rsid w:val="00C22BBB"/>
    <w:rsid w:val="00C679EA"/>
    <w:rsid w:val="00C91BA9"/>
    <w:rsid w:val="00C94AB9"/>
    <w:rsid w:val="00CB380C"/>
    <w:rsid w:val="00CB6728"/>
    <w:rsid w:val="00CC433A"/>
    <w:rsid w:val="00CC6354"/>
    <w:rsid w:val="00CD3934"/>
    <w:rsid w:val="00CD6EFB"/>
    <w:rsid w:val="00CF0248"/>
    <w:rsid w:val="00CF2AA3"/>
    <w:rsid w:val="00D07EC5"/>
    <w:rsid w:val="00D34417"/>
    <w:rsid w:val="00D355FD"/>
    <w:rsid w:val="00D3694E"/>
    <w:rsid w:val="00D41AE9"/>
    <w:rsid w:val="00D447C4"/>
    <w:rsid w:val="00D52040"/>
    <w:rsid w:val="00D5619B"/>
    <w:rsid w:val="00D62E0E"/>
    <w:rsid w:val="00D839CF"/>
    <w:rsid w:val="00D8403A"/>
    <w:rsid w:val="00D91A36"/>
    <w:rsid w:val="00DA4C8C"/>
    <w:rsid w:val="00DB20C8"/>
    <w:rsid w:val="00DD6E57"/>
    <w:rsid w:val="00DE21D4"/>
    <w:rsid w:val="00E00D07"/>
    <w:rsid w:val="00E02EA4"/>
    <w:rsid w:val="00E30C1A"/>
    <w:rsid w:val="00E349F7"/>
    <w:rsid w:val="00E37AD9"/>
    <w:rsid w:val="00E45F85"/>
    <w:rsid w:val="00E55105"/>
    <w:rsid w:val="00E6516A"/>
    <w:rsid w:val="00E87496"/>
    <w:rsid w:val="00EA0F1F"/>
    <w:rsid w:val="00EC1CA7"/>
    <w:rsid w:val="00EF1EE9"/>
    <w:rsid w:val="00F25C8B"/>
    <w:rsid w:val="00F2708A"/>
    <w:rsid w:val="00F30267"/>
    <w:rsid w:val="00F43912"/>
    <w:rsid w:val="00F45710"/>
    <w:rsid w:val="00F6464B"/>
    <w:rsid w:val="00F738A4"/>
    <w:rsid w:val="00F746FE"/>
    <w:rsid w:val="00F75EC6"/>
    <w:rsid w:val="00F9595A"/>
    <w:rsid w:val="00FA2BF9"/>
    <w:rsid w:val="00FC30AA"/>
    <w:rsid w:val="00FD4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8A"/>
  </w:style>
  <w:style w:type="paragraph" w:styleId="Heading1">
    <w:name w:val="heading 1"/>
    <w:basedOn w:val="Normal"/>
    <w:next w:val="Normal"/>
    <w:link w:val="Heading1Char"/>
    <w:qFormat/>
    <w:rsid w:val="007819D8"/>
    <w:pPr>
      <w:keepNext/>
      <w:spacing w:after="0" w:line="240" w:lineRule="auto"/>
      <w:ind w:firstLine="567"/>
      <w:jc w:val="both"/>
      <w:outlineLvl w:val="0"/>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9D8"/>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78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9D8"/>
    <w:rPr>
      <w:rFonts w:ascii="Tahoma" w:hAnsi="Tahoma" w:cs="Tahoma"/>
      <w:sz w:val="16"/>
      <w:szCs w:val="16"/>
    </w:rPr>
  </w:style>
  <w:style w:type="paragraph" w:styleId="FootnoteText">
    <w:name w:val="footnote text"/>
    <w:basedOn w:val="Normal"/>
    <w:link w:val="FootnoteTextChar"/>
    <w:uiPriority w:val="99"/>
    <w:unhideWhenUsed/>
    <w:rsid w:val="00E349F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E349F7"/>
    <w:rPr>
      <w:rFonts w:eastAsiaTheme="minorEastAsia"/>
      <w:sz w:val="20"/>
      <w:szCs w:val="20"/>
    </w:rPr>
  </w:style>
  <w:style w:type="character" w:styleId="FootnoteReference">
    <w:name w:val="footnote reference"/>
    <w:basedOn w:val="DefaultParagraphFont"/>
    <w:uiPriority w:val="99"/>
    <w:unhideWhenUsed/>
    <w:rsid w:val="00E349F7"/>
    <w:rPr>
      <w:vertAlign w:val="superscript"/>
    </w:rPr>
  </w:style>
  <w:style w:type="paragraph" w:styleId="Header">
    <w:name w:val="header"/>
    <w:basedOn w:val="Normal"/>
    <w:link w:val="HeaderChar"/>
    <w:uiPriority w:val="99"/>
    <w:semiHidden/>
    <w:unhideWhenUsed/>
    <w:rsid w:val="00CD6EFB"/>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CD6EFB"/>
  </w:style>
  <w:style w:type="paragraph" w:styleId="Footer">
    <w:name w:val="footer"/>
    <w:basedOn w:val="Normal"/>
    <w:link w:val="FooterChar"/>
    <w:uiPriority w:val="99"/>
    <w:unhideWhenUsed/>
    <w:rsid w:val="00CD6EFB"/>
    <w:pPr>
      <w:tabs>
        <w:tab w:val="center" w:pos="4844"/>
        <w:tab w:val="right" w:pos="9689"/>
      </w:tabs>
      <w:spacing w:after="0" w:line="240" w:lineRule="auto"/>
    </w:pPr>
  </w:style>
  <w:style w:type="character" w:customStyle="1" w:styleId="FooterChar">
    <w:name w:val="Footer Char"/>
    <w:basedOn w:val="DefaultParagraphFont"/>
    <w:link w:val="Footer"/>
    <w:uiPriority w:val="99"/>
    <w:rsid w:val="00CD6EFB"/>
  </w:style>
  <w:style w:type="paragraph" w:customStyle="1" w:styleId="Default">
    <w:name w:val="Default"/>
    <w:rsid w:val="00422090"/>
    <w:pPr>
      <w:autoSpaceDE w:val="0"/>
      <w:autoSpaceDN w:val="0"/>
      <w:adjustRightInd w:val="0"/>
      <w:spacing w:after="0" w:line="240" w:lineRule="auto"/>
    </w:pPr>
    <w:rPr>
      <w:rFonts w:ascii="Sylfaen" w:hAnsi="Sylfaen" w:cs="Sylfaen"/>
      <w:color w:val="000000"/>
      <w:sz w:val="24"/>
      <w:szCs w:val="24"/>
      <w:lang w:val="ru-RU"/>
    </w:rPr>
  </w:style>
  <w:style w:type="paragraph" w:styleId="ListParagraph">
    <w:name w:val="List Paragraph"/>
    <w:basedOn w:val="Normal"/>
    <w:uiPriority w:val="34"/>
    <w:qFormat/>
    <w:rsid w:val="004A3D30"/>
    <w:pPr>
      <w:ind w:left="720"/>
      <w:contextualSpacing/>
    </w:pPr>
  </w:style>
  <w:style w:type="paragraph" w:styleId="NormalWeb">
    <w:name w:val="Normal (Web)"/>
    <w:basedOn w:val="Normal"/>
    <w:uiPriority w:val="99"/>
    <w:semiHidden/>
    <w:unhideWhenUsed/>
    <w:rsid w:val="005C0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77770">
      <w:bodyDiv w:val="1"/>
      <w:marLeft w:val="0"/>
      <w:marRight w:val="0"/>
      <w:marTop w:val="0"/>
      <w:marBottom w:val="0"/>
      <w:divBdr>
        <w:top w:val="none" w:sz="0" w:space="0" w:color="auto"/>
        <w:left w:val="none" w:sz="0" w:space="0" w:color="auto"/>
        <w:bottom w:val="none" w:sz="0" w:space="0" w:color="auto"/>
        <w:right w:val="none" w:sz="0" w:space="0" w:color="auto"/>
      </w:divBdr>
    </w:div>
    <w:div w:id="964043691">
      <w:bodyDiv w:val="1"/>
      <w:marLeft w:val="0"/>
      <w:marRight w:val="0"/>
      <w:marTop w:val="0"/>
      <w:marBottom w:val="0"/>
      <w:divBdr>
        <w:top w:val="none" w:sz="0" w:space="0" w:color="auto"/>
        <w:left w:val="none" w:sz="0" w:space="0" w:color="auto"/>
        <w:bottom w:val="none" w:sz="0" w:space="0" w:color="auto"/>
        <w:right w:val="none" w:sz="0" w:space="0" w:color="auto"/>
      </w:divBdr>
    </w:div>
    <w:div w:id="1029528086">
      <w:bodyDiv w:val="1"/>
      <w:marLeft w:val="0"/>
      <w:marRight w:val="0"/>
      <w:marTop w:val="0"/>
      <w:marBottom w:val="0"/>
      <w:divBdr>
        <w:top w:val="none" w:sz="0" w:space="0" w:color="auto"/>
        <w:left w:val="none" w:sz="0" w:space="0" w:color="auto"/>
        <w:bottom w:val="none" w:sz="0" w:space="0" w:color="auto"/>
        <w:right w:val="none" w:sz="0" w:space="0" w:color="auto"/>
      </w:divBdr>
    </w:div>
    <w:div w:id="1506166510">
      <w:bodyDiv w:val="1"/>
      <w:marLeft w:val="0"/>
      <w:marRight w:val="0"/>
      <w:marTop w:val="0"/>
      <w:marBottom w:val="0"/>
      <w:divBdr>
        <w:top w:val="none" w:sz="0" w:space="0" w:color="auto"/>
        <w:left w:val="none" w:sz="0" w:space="0" w:color="auto"/>
        <w:bottom w:val="none" w:sz="0" w:space="0" w:color="auto"/>
        <w:right w:val="none" w:sz="0" w:space="0" w:color="auto"/>
      </w:divBdr>
    </w:div>
    <w:div w:id="16806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ka_kalandarishvili\Desktop\pres-relizebi\wliuri\grafikebi%202016.%20ge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Information\2017\FDI\FDI_2016Q4\FDI_charts_Geo-Eng_2016Q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ino%20maisuradze\MOXSENEBA-2017\MOX-2017\2016-M-AXALI\grafiki-geo-2016-N.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ino%20maisuradze\MOXSENEBA-2016\MOXSENEBA\2016-MOX\03-2016\grafiki-geo-2016-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ino%20maisuradze\MOXSENEBA-2017\MOX-2017\grafiki-geo-2016-N.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ino%20maisuradze\MOXSENEBA-2017\MOX-2017\grafiki-geo-2016-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ino%20maisuradze\MOXSENEBA-2017\MOX-2017\2016-M-AXALI\grafiki-geo-2016-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ino%20maisuradze\MOXSENEBA-2017\MOX-2017\2016-M-AXALI\grafiki-geo-2016-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ino%20maisuradze\MOXSENEBA-2017\MOX-2017\2016-M-AXALI\grafiki-geo-2016-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nino%20maisuradze\MOXSENEBA-2017\MOX-2017\2016-M-AXALI\grafiki-geo-2016-N.xlsx" TargetMode="Externa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ka_kalandarishvili\Desktop\pres-relizebi\wliuri\grafikebi%202016.%20geo.xlsx" TargetMode="Externa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27.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ziritadigrafikebi-201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ziritadi2-201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ziritadigrafikebi-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ka_kalandarishvili\Desktop\pres-relizebi\wliuri\grafikebi%202016.%20geo.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ziritadigrafikebi-201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ziritadigrafikebi-201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sqesobrivi-2014.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sqesobrivi-2014.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igvilava\Desktop\2015%20&#4332;&#4308;&#4314;&#4312;-%20LFS-&#4312;&#4316;&#4322;&#4308;&#4320;&#4316;&#4308;&#4322;&#4312;&#4321;&#4311;&#4309;&#4312;&#4321;\sqesobrivi-2014.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ocuments%20and%20settings\Desktop\IHS%202015\3%20-%20SABOLOO\asaki-2014_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documents%20and%20settings\Desktop\IHS%202015\3%20-%20SABOLOO\asaki-2014_1.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D:\AXAL%20COMPUTERSHI%20GADASATANI%20FOLDERI\MY%20FOLDERS\press-release\CPI\CPI%20release%20charts\Charts_gavlenebi.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tetrauli\Desktop\charts_2016.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D:\2017\FDI-Q42016\FDI_charts_Geo-Eng_2016Q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017\FDI-Q42016\FDI_charts_Geo-Eng_2016Q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017\FDI-Q42016\FDI_charts_Geo-Eng_2016Q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017\FDI-Q42016\FDI_charts_Geo-Eng_2016Q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ka-GE" sz="1000"/>
              <a:t>მთლიანი შიდა პროდუქტის რეალური</a:t>
            </a:r>
            <a:r>
              <a:rPr lang="ka-GE" sz="1000" baseline="0"/>
              <a:t> ზრდა და დეფლატორი 2006-201</a:t>
            </a:r>
            <a:r>
              <a:rPr lang="en-US" sz="1000" baseline="0"/>
              <a:t>6</a:t>
            </a:r>
            <a:r>
              <a:rPr lang="ka-GE" sz="1000" baseline="0"/>
              <a:t>* წლებში </a:t>
            </a:r>
            <a:br>
              <a:rPr lang="ka-GE" sz="1000" baseline="0"/>
            </a:br>
            <a:r>
              <a:rPr lang="ka-GE" sz="1000" b="0" baseline="0"/>
              <a:t>(პროცენტი) </a:t>
            </a:r>
            <a:endParaRPr lang="en-US" sz="1000" b="0"/>
          </a:p>
        </c:rich>
      </c:tx>
    </c:title>
    <c:plotArea>
      <c:layout/>
      <c:barChart>
        <c:barDir val="col"/>
        <c:grouping val="clustered"/>
        <c:ser>
          <c:idx val="0"/>
          <c:order val="0"/>
          <c:tx>
            <c:strRef>
              <c:f>'graf cliur'!$A$5</c:f>
              <c:strCache>
                <c:ptCount val="1"/>
                <c:pt idx="0">
                  <c:v>მშპ-ის რეალური ზრდა</c:v>
                </c:pt>
              </c:strCache>
            </c:strRef>
          </c:tx>
          <c:dLbls>
            <c:dLbl>
              <c:idx val="0"/>
              <c:tx>
                <c:rich>
                  <a:bodyPr/>
                  <a:lstStyle/>
                  <a:p>
                    <a:r>
                      <a:rPr lang="en-US" b="0"/>
                      <a:t>9</a:t>
                    </a:r>
                    <a:r>
                      <a:rPr lang="en-US"/>
                      <a:t>,4</a:t>
                    </a:r>
                  </a:p>
                </c:rich>
              </c:tx>
              <c:showVal val="1"/>
              <c:separator>. </c:separator>
            </c:dLbl>
            <c:dLbl>
              <c:idx val="1"/>
              <c:tx>
                <c:rich>
                  <a:bodyPr/>
                  <a:lstStyle/>
                  <a:p>
                    <a:r>
                      <a:rPr lang="en-US" b="0"/>
                      <a:t>1</a:t>
                    </a:r>
                    <a:r>
                      <a:rPr lang="en-US"/>
                      <a:t>2,6</a:t>
                    </a:r>
                  </a:p>
                </c:rich>
              </c:tx>
              <c:showVal val="1"/>
              <c:separator>. </c:separator>
            </c:dLbl>
            <c:dLbl>
              <c:idx val="2"/>
              <c:tx>
                <c:rich>
                  <a:bodyPr/>
                  <a:lstStyle/>
                  <a:p>
                    <a:r>
                      <a:rPr lang="en-US" b="0"/>
                      <a:t>2</a:t>
                    </a:r>
                    <a:r>
                      <a:rPr lang="en-US"/>
                      <a:t>,4</a:t>
                    </a:r>
                  </a:p>
                </c:rich>
              </c:tx>
              <c:showVal val="1"/>
              <c:separator>. </c:separator>
            </c:dLbl>
            <c:dLbl>
              <c:idx val="3"/>
              <c:layout>
                <c:manualLayout>
                  <c:x val="-1.9174335016699147E-3"/>
                  <c:y val="1.6018339412584081E-2"/>
                </c:manualLayout>
              </c:layout>
              <c:tx>
                <c:rich>
                  <a:bodyPr/>
                  <a:lstStyle/>
                  <a:p>
                    <a:r>
                      <a:rPr lang="en-US" b="0"/>
                      <a:t>-</a:t>
                    </a:r>
                    <a:r>
                      <a:rPr lang="en-US"/>
                      <a:t>3,7</a:t>
                    </a:r>
                  </a:p>
                </c:rich>
              </c:tx>
              <c:showVal val="1"/>
              <c:separator>. </c:separator>
            </c:dLbl>
            <c:dLbl>
              <c:idx val="4"/>
              <c:tx>
                <c:rich>
                  <a:bodyPr/>
                  <a:lstStyle/>
                  <a:p>
                    <a:r>
                      <a:rPr lang="en-US" b="0"/>
                      <a:t>6</a:t>
                    </a:r>
                    <a:r>
                      <a:rPr lang="en-US"/>
                      <a:t>,2</a:t>
                    </a:r>
                  </a:p>
                </c:rich>
              </c:tx>
              <c:showVal val="1"/>
              <c:separator>. </c:separator>
            </c:dLbl>
            <c:dLbl>
              <c:idx val="5"/>
              <c:tx>
                <c:rich>
                  <a:bodyPr/>
                  <a:lstStyle/>
                  <a:p>
                    <a:r>
                      <a:rPr lang="en-US" b="0"/>
                      <a:t>7</a:t>
                    </a:r>
                    <a:r>
                      <a:rPr lang="en-US"/>
                      <a:t>,2</a:t>
                    </a:r>
                  </a:p>
                </c:rich>
              </c:tx>
              <c:showVal val="1"/>
              <c:separator>. </c:separator>
            </c:dLbl>
            <c:dLbl>
              <c:idx val="6"/>
              <c:tx>
                <c:rich>
                  <a:bodyPr/>
                  <a:lstStyle/>
                  <a:p>
                    <a:r>
                      <a:rPr lang="en-US" b="0"/>
                      <a:t>6</a:t>
                    </a:r>
                    <a:r>
                      <a:rPr lang="en-US"/>
                      <a:t>,4</a:t>
                    </a:r>
                  </a:p>
                </c:rich>
              </c:tx>
              <c:showVal val="1"/>
              <c:separator>. </c:separator>
            </c:dLbl>
            <c:dLbl>
              <c:idx val="7"/>
              <c:tx>
                <c:rich>
                  <a:bodyPr/>
                  <a:lstStyle/>
                  <a:p>
                    <a:r>
                      <a:rPr lang="en-US" b="0"/>
                      <a:t>3</a:t>
                    </a:r>
                    <a:r>
                      <a:rPr lang="en-US"/>
                      <a:t>,4</a:t>
                    </a:r>
                  </a:p>
                </c:rich>
              </c:tx>
              <c:showVal val="1"/>
              <c:separator>. </c:separator>
            </c:dLbl>
            <c:dLbl>
              <c:idx val="8"/>
              <c:tx>
                <c:rich>
                  <a:bodyPr/>
                  <a:lstStyle/>
                  <a:p>
                    <a:r>
                      <a:rPr lang="en-US" b="0"/>
                      <a:t>4</a:t>
                    </a:r>
                    <a:r>
                      <a:rPr lang="en-US"/>
                      <a:t>,6</a:t>
                    </a:r>
                  </a:p>
                </c:rich>
              </c:tx>
              <c:showVal val="1"/>
              <c:separator>. </c:separator>
            </c:dLbl>
            <c:dLbl>
              <c:idx val="9"/>
              <c:tx>
                <c:rich>
                  <a:bodyPr/>
                  <a:lstStyle/>
                  <a:p>
                    <a:r>
                      <a:rPr lang="en-US" b="0"/>
                      <a:t>2</a:t>
                    </a:r>
                    <a:r>
                      <a:rPr lang="en-US"/>
                      <a:t>,9</a:t>
                    </a:r>
                  </a:p>
                </c:rich>
              </c:tx>
              <c:showVal val="1"/>
              <c:separator>. </c:separator>
            </c:dLbl>
            <c:dLbl>
              <c:idx val="10"/>
              <c:tx>
                <c:rich>
                  <a:bodyPr/>
                  <a:lstStyle/>
                  <a:p>
                    <a:r>
                      <a:rPr lang="en-US" b="0"/>
                      <a:t>2</a:t>
                    </a:r>
                    <a:r>
                      <a:rPr lang="en-US"/>
                      <a:t>,7</a:t>
                    </a:r>
                  </a:p>
                </c:rich>
              </c:tx>
              <c:showVal val="1"/>
              <c:separator>. </c:separator>
            </c:dLbl>
            <c:numFmt formatCode="General" sourceLinked="0"/>
            <c:txPr>
              <a:bodyPr/>
              <a:lstStyle/>
              <a:p>
                <a:pPr>
                  <a:defRPr b="0"/>
                </a:pPr>
                <a:endParaRPr lang="en-US"/>
              </a:p>
            </c:txPr>
            <c:showVal val="1"/>
            <c:separator>. </c:separator>
          </c:dLbls>
          <c:cat>
            <c:strRef>
              <c:f>'graf cliur'!$B$4:$L$4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'graf cliur'!$B$5:$L$5</c:f>
              <c:numCache>
                <c:formatCode>0.0</c:formatCode>
                <c:ptCount val="11"/>
                <c:pt idx="0">
                  <c:v>9.4207406945873267</c:v>
                </c:pt>
                <c:pt idx="1">
                  <c:v>12.578780221053819</c:v>
                </c:pt>
                <c:pt idx="2">
                  <c:v>2.4181032879251205</c:v>
                </c:pt>
                <c:pt idx="3">
                  <c:v>-3.6501007837780581</c:v>
                </c:pt>
                <c:pt idx="4">
                  <c:v>6.2494177370318909</c:v>
                </c:pt>
                <c:pt idx="5">
                  <c:v>7.2215232428131504</c:v>
                </c:pt>
                <c:pt idx="6">
                  <c:v>6.3504820659389285</c:v>
                </c:pt>
                <c:pt idx="7">
                  <c:v>3.3870440893506668</c:v>
                </c:pt>
                <c:pt idx="8">
                  <c:v>4.6233315255198306</c:v>
                </c:pt>
                <c:pt idx="9">
                  <c:v>2.8803188148622354</c:v>
                </c:pt>
                <c:pt idx="10">
                  <c:v>2.7440124524008951</c:v>
                </c:pt>
              </c:numCache>
            </c:numRef>
          </c:val>
        </c:ser>
        <c:ser>
          <c:idx val="1"/>
          <c:order val="1"/>
          <c:tx>
            <c:strRef>
              <c:f>'graf cliur'!$A$6</c:f>
              <c:strCache>
                <c:ptCount val="1"/>
                <c:pt idx="0">
                  <c:v>მშპ-ის დეფლატორი</c:v>
                </c:pt>
              </c:strCache>
            </c:strRef>
          </c:tx>
          <c:dLbls>
            <c:dLbl>
              <c:idx val="0"/>
              <c:tx>
                <c:rich>
                  <a:bodyPr/>
                  <a:lstStyle/>
                  <a:p>
                    <a:r>
                      <a:rPr lang="en-US" b="0"/>
                      <a:t>8</a:t>
                    </a:r>
                    <a:r>
                      <a:rPr lang="en-US"/>
                      <a:t>,4</a:t>
                    </a:r>
                  </a:p>
                </c:rich>
              </c:tx>
              <c:showVal val="1"/>
            </c:dLbl>
            <c:dLbl>
              <c:idx val="1"/>
              <c:tx>
                <c:rich>
                  <a:bodyPr/>
                  <a:lstStyle/>
                  <a:p>
                    <a:r>
                      <a:rPr lang="en-US" b="0"/>
                      <a:t>9</a:t>
                    </a:r>
                    <a:r>
                      <a:rPr lang="en-US"/>
                      <a:t>,5</a:t>
                    </a:r>
                  </a:p>
                </c:rich>
              </c:tx>
              <c:showVal val="1"/>
            </c:dLbl>
            <c:dLbl>
              <c:idx val="2"/>
              <c:tx>
                <c:rich>
                  <a:bodyPr/>
                  <a:lstStyle/>
                  <a:p>
                    <a:r>
                      <a:rPr lang="en-US" b="0"/>
                      <a:t>9</a:t>
                    </a:r>
                    <a:r>
                      <a:rPr lang="en-US"/>
                      <a:t>,6</a:t>
                    </a:r>
                  </a:p>
                </c:rich>
              </c:tx>
              <c:showVal val="1"/>
            </c:dLbl>
            <c:dLbl>
              <c:idx val="3"/>
              <c:layout>
                <c:manualLayout>
                  <c:x val="1.9174335016699147E-3"/>
                  <c:y val="-7.0268009889365834E-3"/>
                </c:manualLayout>
              </c:layout>
              <c:tx>
                <c:rich>
                  <a:bodyPr/>
                  <a:lstStyle/>
                  <a:p>
                    <a:r>
                      <a:rPr lang="en-US" b="0"/>
                      <a:t>-</a:t>
                    </a:r>
                    <a:r>
                      <a:rPr lang="en-US"/>
                      <a:t>2,1</a:t>
                    </a:r>
                  </a:p>
                </c:rich>
              </c:tx>
              <c:showVal val="1"/>
            </c:dLbl>
            <c:dLbl>
              <c:idx val="4"/>
              <c:tx>
                <c:rich>
                  <a:bodyPr/>
                  <a:lstStyle/>
                  <a:p>
                    <a:r>
                      <a:rPr lang="en-US" b="0"/>
                      <a:t>8</a:t>
                    </a:r>
                    <a:r>
                      <a:rPr lang="en-US"/>
                      <a:t>,5</a:t>
                    </a:r>
                  </a:p>
                </c:rich>
              </c:tx>
              <c:showVal val="1"/>
            </c:dLbl>
            <c:dLbl>
              <c:idx val="5"/>
              <c:tx>
                <c:rich>
                  <a:bodyPr/>
                  <a:lstStyle/>
                  <a:p>
                    <a:r>
                      <a:rPr lang="en-US" b="0"/>
                      <a:t>9</a:t>
                    </a:r>
                    <a:r>
                      <a:rPr lang="en-US"/>
                      <a:t>,5</a:t>
                    </a:r>
                  </a:p>
                </c:rich>
              </c:tx>
              <c:showVal val="1"/>
            </c:dLbl>
            <c:dLbl>
              <c:idx val="6"/>
              <c:tx>
                <c:rich>
                  <a:bodyPr/>
                  <a:lstStyle/>
                  <a:p>
                    <a:r>
                      <a:rPr lang="en-US" b="0"/>
                      <a:t>1</a:t>
                    </a:r>
                    <a:r>
                      <a:rPr lang="en-US"/>
                      <a:t>,1</a:t>
                    </a:r>
                  </a:p>
                </c:rich>
              </c:tx>
              <c:showVal val="1"/>
            </c:dLbl>
            <c:dLbl>
              <c:idx val="7"/>
              <c:tx>
                <c:rich>
                  <a:bodyPr/>
                  <a:lstStyle/>
                  <a:p>
                    <a:r>
                      <a:rPr lang="en-US" b="0"/>
                      <a:t>-</a:t>
                    </a:r>
                    <a:r>
                      <a:rPr lang="en-US"/>
                      <a:t>0,8</a:t>
                    </a:r>
                  </a:p>
                </c:rich>
              </c:tx>
              <c:showVal val="1"/>
            </c:dLbl>
            <c:dLbl>
              <c:idx val="8"/>
              <c:tx>
                <c:rich>
                  <a:bodyPr/>
                  <a:lstStyle/>
                  <a:p>
                    <a:r>
                      <a:rPr lang="en-US" b="0"/>
                      <a:t>3</a:t>
                    </a:r>
                    <a:r>
                      <a:rPr lang="en-US"/>
                      <a:t>,8</a:t>
                    </a:r>
                  </a:p>
                </c:rich>
              </c:tx>
              <c:showVal val="1"/>
            </c:dLbl>
            <c:dLbl>
              <c:idx val="9"/>
              <c:tx>
                <c:rich>
                  <a:bodyPr/>
                  <a:lstStyle/>
                  <a:p>
                    <a:r>
                      <a:rPr lang="en-US" b="0"/>
                      <a:t>5</a:t>
                    </a:r>
                    <a:r>
                      <a:rPr lang="en-US"/>
                      <a:t>,9</a:t>
                    </a:r>
                  </a:p>
                </c:rich>
              </c:tx>
              <c:showVal val="1"/>
            </c:dLbl>
            <c:dLbl>
              <c:idx val="10"/>
              <c:tx>
                <c:rich>
                  <a:bodyPr/>
                  <a:lstStyle/>
                  <a:p>
                    <a:r>
                      <a:rPr lang="en-US" b="0"/>
                      <a:t>4</a:t>
                    </a:r>
                    <a:r>
                      <a:rPr lang="en-US"/>
                      <a:t>,0</a:t>
                    </a:r>
                  </a:p>
                </c:rich>
              </c:tx>
              <c:showVal val="1"/>
            </c:dLbl>
            <c:txPr>
              <a:bodyPr/>
              <a:lstStyle/>
              <a:p>
                <a:pPr>
                  <a:defRPr b="0"/>
                </a:pPr>
                <a:endParaRPr lang="en-US"/>
              </a:p>
            </c:txPr>
            <c:showVal val="1"/>
          </c:dLbls>
          <c:cat>
            <c:strRef>
              <c:f>'graf cliur'!$B$4:$L$4</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'graf cliur'!$B$6:$L$6</c:f>
              <c:numCache>
                <c:formatCode>0.0</c:formatCode>
                <c:ptCount val="11"/>
                <c:pt idx="0">
                  <c:v>8.4477467040137384</c:v>
                </c:pt>
                <c:pt idx="1">
                  <c:v>9.4641448800073746</c:v>
                </c:pt>
                <c:pt idx="2">
                  <c:v>9.5959472027974648</c:v>
                </c:pt>
                <c:pt idx="3">
                  <c:v>-2.1364323414840385</c:v>
                </c:pt>
                <c:pt idx="4">
                  <c:v>8.5473291867193861</c:v>
                </c:pt>
                <c:pt idx="5">
                  <c:v>9.453721820953362</c:v>
                </c:pt>
                <c:pt idx="6">
                  <c:v>1.0712127636138937</c:v>
                </c:pt>
                <c:pt idx="7">
                  <c:v>-0.76228978321186969</c:v>
                </c:pt>
                <c:pt idx="8">
                  <c:v>3.7804838792252156</c:v>
                </c:pt>
                <c:pt idx="9">
                  <c:v>5.8867661597625434</c:v>
                </c:pt>
                <c:pt idx="10">
                  <c:v>3.9681797590044452</c:v>
                </c:pt>
              </c:numCache>
            </c:numRef>
          </c:val>
        </c:ser>
        <c:gapWidth val="75"/>
        <c:overlap val="-25"/>
        <c:axId val="124652928"/>
        <c:axId val="124839040"/>
      </c:barChart>
      <c:catAx>
        <c:axId val="124652928"/>
        <c:scaling>
          <c:orientation val="minMax"/>
        </c:scaling>
        <c:axPos val="b"/>
        <c:numFmt formatCode="General" sourceLinked="1"/>
        <c:majorTickMark val="none"/>
        <c:tickLblPos val="nextTo"/>
        <c:txPr>
          <a:bodyPr/>
          <a:lstStyle/>
          <a:p>
            <a:pPr>
              <a:defRPr b="0"/>
            </a:pPr>
            <a:endParaRPr lang="en-US"/>
          </a:p>
        </c:txPr>
        <c:crossAx val="124839040"/>
        <c:crosses val="autoZero"/>
        <c:auto val="1"/>
        <c:lblAlgn val="ctr"/>
        <c:lblOffset val="1000"/>
      </c:catAx>
      <c:valAx>
        <c:axId val="124839040"/>
        <c:scaling>
          <c:orientation val="minMax"/>
          <c:max val="14"/>
          <c:min val="-10"/>
        </c:scaling>
        <c:axPos val="l"/>
        <c:numFmt formatCode="0.0" sourceLinked="1"/>
        <c:majorTickMark val="none"/>
        <c:tickLblPos val="nextTo"/>
        <c:spPr>
          <a:ln w="9525">
            <a:noFill/>
          </a:ln>
        </c:spPr>
        <c:crossAx val="124652928"/>
        <c:crosses val="autoZero"/>
        <c:crossBetween val="between"/>
        <c:majorUnit val="3"/>
        <c:minorUnit val="0.60000000000000064"/>
      </c:valAx>
    </c:plotArea>
    <c:legend>
      <c:legendPos val="b"/>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sz="1000" b="1" i="0" baseline="0">
                <a:latin typeface="Sylfaen" pitchFamily="18" charset="0"/>
              </a:rPr>
              <a:t>უმსხვილესი პირდაპირი უცხოური ინვესტიციები ეკონომიკის სექტორების მიხედვით  </a:t>
            </a:r>
            <a:r>
              <a:rPr lang="en-US" sz="1000" b="1" i="0" baseline="0">
                <a:latin typeface="Sylfaen" pitchFamily="18" charset="0"/>
              </a:rPr>
              <a:t>2</a:t>
            </a:r>
            <a:r>
              <a:rPr lang="ka-GE" sz="1000" b="1" i="0" baseline="0">
                <a:latin typeface="Sylfaen" pitchFamily="18" charset="0"/>
              </a:rPr>
              <a:t>01</a:t>
            </a:r>
            <a:r>
              <a:rPr lang="en-US" sz="1000" b="1" i="0" baseline="0">
                <a:latin typeface="Sylfaen" pitchFamily="18" charset="0"/>
              </a:rPr>
              <a:t>6*</a:t>
            </a:r>
            <a:r>
              <a:rPr lang="ka-GE" sz="1000" b="1" i="0" baseline="0">
                <a:latin typeface="Sylfaen" pitchFamily="18" charset="0"/>
              </a:rPr>
              <a:t> წელს </a:t>
            </a:r>
            <a:r>
              <a:rPr lang="en-US" sz="1000" b="1" i="0" baseline="0">
                <a:latin typeface="Sylfaen" pitchFamily="18" charset="0"/>
              </a:rPr>
              <a:t>(%)</a:t>
            </a:r>
          </a:p>
        </c:rich>
      </c:tx>
      <c:layout>
        <c:manualLayout>
          <c:xMode val="edge"/>
          <c:yMode val="edge"/>
          <c:x val="0.1538147199112152"/>
          <c:y val="2.3450609850239307E-2"/>
        </c:manualLayout>
      </c:layout>
    </c:title>
    <c:plotArea>
      <c:layout>
        <c:manualLayout>
          <c:layoutTarget val="inner"/>
          <c:xMode val="edge"/>
          <c:yMode val="edge"/>
          <c:x val="0.32396840810110838"/>
          <c:y val="0.22311371662483787"/>
          <c:w val="0.48436952071794726"/>
          <c:h val="0.66672051875868998"/>
        </c:manualLayout>
      </c:layout>
      <c:pieChart>
        <c:varyColors val="1"/>
        <c:ser>
          <c:idx val="0"/>
          <c:order val="0"/>
          <c:dLbls>
            <c:dLbl>
              <c:idx val="0"/>
              <c:layout>
                <c:manualLayout>
                  <c:x val="-0.22129129886869126"/>
                  <c:y val="9.2244032876172222E-2"/>
                </c:manualLayout>
              </c:layout>
              <c:showVal val="1"/>
              <c:showCatName val="1"/>
              <c:separator>
</c:separator>
            </c:dLbl>
            <c:dLbl>
              <c:idx val="1"/>
              <c:layout>
                <c:manualLayout>
                  <c:x val="-8.2890565228070812E-2"/>
                  <c:y val="-0.12108743287822966"/>
                </c:manualLayout>
              </c:layout>
              <c:showVal val="1"/>
              <c:showCatName val="1"/>
              <c:separator>
</c:separator>
            </c:dLbl>
            <c:dLbl>
              <c:idx val="2"/>
              <c:layout>
                <c:manualLayout>
                  <c:x val="-4.8691140309024765E-2"/>
                  <c:y val="6.1159671554817134E-3"/>
                </c:manualLayout>
              </c:layout>
              <c:showVal val="1"/>
              <c:showCatName val="1"/>
              <c:separator>
</c:separator>
            </c:dLbl>
            <c:dLbl>
              <c:idx val="3"/>
              <c:layout>
                <c:manualLayout>
                  <c:x val="-3.1031821428470899E-2"/>
                  <c:y val="3.2762888583881142E-2"/>
                </c:manualLayout>
              </c:layout>
              <c:showVal val="1"/>
              <c:showCatName val="1"/>
              <c:separator>
</c:separator>
            </c:dLbl>
            <c:dLbl>
              <c:idx val="4"/>
              <c:layout>
                <c:manualLayout>
                  <c:x val="-1.8932571264020769E-2"/>
                  <c:y val="5.7545570565147287E-2"/>
                </c:manualLayout>
              </c:layout>
              <c:showVal val="1"/>
              <c:showCatName val="1"/>
              <c:separator>
</c:separator>
            </c:dLbl>
            <c:dLbl>
              <c:idx val="5"/>
              <c:layout>
                <c:manualLayout>
                  <c:x val="-4.2686068473311106E-2"/>
                  <c:y val="7.5898047147776523E-2"/>
                </c:manualLayout>
              </c:layout>
              <c:showVal val="1"/>
              <c:showCatName val="1"/>
              <c:separator>
</c:separator>
            </c:dLbl>
            <c:dLbl>
              <c:idx val="6"/>
              <c:layout>
                <c:manualLayout>
                  <c:x val="-1.3543304696918097E-2"/>
                  <c:y val="1.780779696115967E-2"/>
                </c:manualLayout>
              </c:layout>
              <c:showVal val="1"/>
              <c:showCatName val="1"/>
              <c:separator>
</c:separator>
            </c:dLbl>
            <c:dLbl>
              <c:idx val="7"/>
              <c:layout>
                <c:manualLayout>
                  <c:x val="9.0676884681729256E-2"/>
                  <c:y val="0.13852970213585686"/>
                </c:manualLayout>
              </c:layout>
              <c:showVal val="1"/>
              <c:showCatName val="1"/>
              <c:separator>
</c:separator>
            </c:dLbl>
            <c:dLbl>
              <c:idx val="8"/>
              <c:layout>
                <c:manualLayout>
                  <c:x val="-9.1480702338748179E-2"/>
                  <c:y val="-1.2572945235778121E-2"/>
                </c:manualLayout>
              </c:layout>
              <c:showVal val="1"/>
              <c:showCatName val="1"/>
              <c:separator>
</c:separator>
            </c:dLbl>
            <c:dLbl>
              <c:idx val="9"/>
              <c:layout>
                <c:manualLayout>
                  <c:x val="0.10143650735823329"/>
                  <c:y val="2.462826978088415E-2"/>
                </c:manualLayout>
              </c:layout>
              <c:showVal val="1"/>
              <c:showCatName val="1"/>
              <c:separator>
</c:separator>
            </c:dLbl>
            <c:txPr>
              <a:bodyPr/>
              <a:lstStyle/>
              <a:p>
                <a:pPr>
                  <a:defRPr sz="950">
                    <a:latin typeface="Sylfaen" pitchFamily="18" charset="0"/>
                  </a:defRPr>
                </a:pPr>
                <a:endParaRPr lang="en-US"/>
              </a:p>
            </c:txPr>
            <c:showVal val="1"/>
            <c:showCatName val="1"/>
            <c:separator>
</c:separator>
            <c:showLeaderLines val="1"/>
          </c:dLbls>
          <c:cat>
            <c:strRef>
              <c:f>'sectors-2016'!$A$6:$A$13</c:f>
              <c:strCache>
                <c:ptCount val="8"/>
                <c:pt idx="0">
                  <c:v>ტრანსპორტი და კავშირგაბმულობა</c:v>
                </c:pt>
                <c:pt idx="1">
                  <c:v>ენერგეტიკა</c:v>
                </c:pt>
                <c:pt idx="2">
                  <c:v>მშენებლობა</c:v>
                </c:pt>
                <c:pt idx="3">
                  <c:v>საფინანსო სექტორი</c:v>
                </c:pt>
                <c:pt idx="4">
                  <c:v>დამამუშავებელი მრეწველობა</c:v>
                </c:pt>
                <c:pt idx="5">
                  <c:v>სასტუმროები და რესტორნები</c:v>
                </c:pt>
                <c:pt idx="6">
                  <c:v>უძრავი ქონება</c:v>
                </c:pt>
                <c:pt idx="7">
                  <c:v>დანარჩენი სექტორები</c:v>
                </c:pt>
              </c:strCache>
            </c:strRef>
          </c:cat>
          <c:val>
            <c:numRef>
              <c:f>'sectors-2016'!$B$6:$B$13</c:f>
              <c:numCache>
                <c:formatCode>#,##0;\-#,##0;\-</c:formatCode>
                <c:ptCount val="8"/>
                <c:pt idx="0">
                  <c:v>39.201111438037188</c:v>
                </c:pt>
                <c:pt idx="1">
                  <c:v>12.321824819583076</c:v>
                </c:pt>
                <c:pt idx="2">
                  <c:v>9.93692466296066</c:v>
                </c:pt>
                <c:pt idx="3">
                  <c:v>8.2539617636994489</c:v>
                </c:pt>
                <c:pt idx="4">
                  <c:v>7.3163721558030934</c:v>
                </c:pt>
                <c:pt idx="5">
                  <c:v>6.7362031712306782</c:v>
                </c:pt>
                <c:pt idx="6">
                  <c:v>4.2384803717842061</c:v>
                </c:pt>
                <c:pt idx="7">
                  <c:v>12</c:v>
                </c:pt>
              </c:numCache>
            </c:numRef>
          </c:val>
        </c:ser>
        <c:dLbls>
          <c:showCatName val="1"/>
          <c:showPercent val="1"/>
        </c:dLbls>
        <c:firstSliceAng val="0"/>
      </c:pieChart>
    </c:plotArea>
    <c:plotVisOnly val="1"/>
    <c:dispBlanksAs val="zero"/>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ka-GE" sz="1000" b="1" i="0" baseline="0"/>
              <a:t>საგარეო ვაჭრობის ზოგადი მაჩვენებლები 20</a:t>
            </a:r>
            <a:r>
              <a:rPr lang="en-US" sz="1000" b="1" i="0" baseline="0"/>
              <a:t>11</a:t>
            </a:r>
            <a:r>
              <a:rPr lang="ka-GE" sz="1000" b="1" i="0" baseline="0"/>
              <a:t>-201</a:t>
            </a:r>
            <a:r>
              <a:rPr lang="en-US" sz="1000" b="1" i="0" baseline="0"/>
              <a:t>6</a:t>
            </a:r>
            <a:r>
              <a:rPr lang="ka-GE" sz="1000" b="1" i="0" baseline="0"/>
              <a:t> წლებში     </a:t>
            </a:r>
            <a:r>
              <a:rPr lang="en-US" sz="1000" b="1" i="0" baseline="0"/>
              <a:t>                      </a:t>
            </a:r>
            <a:r>
              <a:rPr lang="ka-GE" sz="1000" b="1" i="0" baseline="0"/>
              <a:t>                                       (მლნ. აშშ დოლარი) </a:t>
            </a:r>
            <a:endParaRPr lang="en-US" sz="1000" b="1" i="0" baseline="0"/>
          </a:p>
        </c:rich>
      </c:tx>
      <c:layout>
        <c:manualLayout>
          <c:xMode val="edge"/>
          <c:yMode val="edge"/>
          <c:x val="0.25791112549297318"/>
          <c:y val="0"/>
        </c:manualLayout>
      </c:layout>
    </c:title>
    <c:plotArea>
      <c:layout>
        <c:manualLayout>
          <c:layoutTarget val="inner"/>
          <c:xMode val="edge"/>
          <c:yMode val="edge"/>
          <c:x val="6.7551233040989783E-2"/>
          <c:y val="0.12298212723409574"/>
          <c:w val="0.93234065548985201"/>
          <c:h val="0.75139868087873285"/>
        </c:manualLayout>
      </c:layout>
      <c:barChart>
        <c:barDir val="col"/>
        <c:grouping val="clustered"/>
        <c:ser>
          <c:idx val="0"/>
          <c:order val="0"/>
          <c:tx>
            <c:strRef>
              <c:f>'1'!$B$2</c:f>
              <c:strCache>
                <c:ptCount val="1"/>
                <c:pt idx="0">
                  <c:v>ექსპორტი</c:v>
                </c:pt>
              </c:strCache>
            </c:strRef>
          </c:tx>
          <c:spPr>
            <a:solidFill>
              <a:srgbClr val="FF0000"/>
            </a:solidFill>
          </c:spPr>
          <c:dLbls>
            <c:dLbl>
              <c:idx val="0"/>
              <c:layout>
                <c:manualLayout>
                  <c:x val="-7.1607590404582904E-3"/>
                  <c:y val="9.4786577563244264E-3"/>
                </c:manualLayout>
              </c:layout>
              <c:showVal val="1"/>
            </c:dLbl>
            <c:dLbl>
              <c:idx val="1"/>
              <c:layout>
                <c:manualLayout>
                  <c:x val="-7.1607590404582904E-3"/>
                  <c:y val="1.008750779814194E-2"/>
                </c:manualLayout>
              </c:layout>
              <c:showVal val="1"/>
            </c:dLbl>
            <c:dLbl>
              <c:idx val="2"/>
              <c:layout>
                <c:manualLayout>
                  <c:x val="-1.0741138560687553E-2"/>
                  <c:y val="1.2638216796776198E-2"/>
                </c:manualLayout>
              </c:layout>
              <c:showVal val="1"/>
            </c:dLbl>
            <c:dLbl>
              <c:idx val="3"/>
              <c:layout>
                <c:manualLayout>
                  <c:x val="-7.1607590404582904E-3"/>
                  <c:y val="9.4786577563244767E-3"/>
                </c:manualLayout>
              </c:layout>
              <c:showVal val="1"/>
            </c:dLbl>
            <c:dLbl>
              <c:idx val="4"/>
              <c:layout>
                <c:manualLayout>
                  <c:x val="-8.919796679550571E-3"/>
                  <c:y val="1.2393684720323874E-2"/>
                </c:manualLayout>
              </c:layout>
              <c:showVal val="1"/>
            </c:dLbl>
            <c:dLbl>
              <c:idx val="5"/>
              <c:layout>
                <c:manualLayout>
                  <c:x val="-1.083389012463668E-2"/>
                  <c:y val="8.5399068157166417E-3"/>
                </c:manualLayout>
              </c:layout>
              <c:showVal val="1"/>
            </c:dLbl>
            <c:txPr>
              <a:bodyPr/>
              <a:lstStyle/>
              <a:p>
                <a:pPr>
                  <a:defRPr>
                    <a:latin typeface="Arial" pitchFamily="34" charset="0"/>
                    <a:cs typeface="Arial" pitchFamily="34" charset="0"/>
                  </a:defRPr>
                </a:pPr>
                <a:endParaRPr lang="en-US"/>
              </a:p>
            </c:txPr>
            <c:showVal val="1"/>
          </c:dLbls>
          <c:cat>
            <c:strRef>
              <c:f>'1'!$A$3:$A$8</c:f>
              <c:strCache>
                <c:ptCount val="6"/>
                <c:pt idx="0">
                  <c:v>2011</c:v>
                </c:pt>
                <c:pt idx="1">
                  <c:v>2012</c:v>
                </c:pt>
                <c:pt idx="2">
                  <c:v>2013</c:v>
                </c:pt>
                <c:pt idx="3">
                  <c:v>2014</c:v>
                </c:pt>
                <c:pt idx="4">
                  <c:v>2015</c:v>
                </c:pt>
                <c:pt idx="5">
                  <c:v>2016*</c:v>
                </c:pt>
              </c:strCache>
            </c:strRef>
          </c:cat>
          <c:val>
            <c:numRef>
              <c:f>'1'!$B$3:$B$8</c:f>
              <c:numCache>
                <c:formatCode>0</c:formatCode>
                <c:ptCount val="6"/>
                <c:pt idx="0">
                  <c:v>2186.4212088433292</c:v>
                </c:pt>
                <c:pt idx="1">
                  <c:v>2376.6353682062722</c:v>
                </c:pt>
                <c:pt idx="2">
                  <c:v>2910.6371744397702</c:v>
                </c:pt>
                <c:pt idx="3">
                  <c:v>2861.0451786709873</c:v>
                </c:pt>
                <c:pt idx="4">
                  <c:v>2204.6842061586717</c:v>
                </c:pt>
                <c:pt idx="5">
                  <c:v>2112.8495150280828</c:v>
                </c:pt>
              </c:numCache>
            </c:numRef>
          </c:val>
        </c:ser>
        <c:ser>
          <c:idx val="1"/>
          <c:order val="1"/>
          <c:tx>
            <c:strRef>
              <c:f>'1'!$C$2</c:f>
              <c:strCache>
                <c:ptCount val="1"/>
                <c:pt idx="0">
                  <c:v>იმპორტი</c:v>
                </c:pt>
              </c:strCache>
            </c:strRef>
          </c:tx>
          <c:spPr>
            <a:solidFill>
              <a:srgbClr val="000080"/>
            </a:solidFill>
            <a:ln>
              <a:solidFill>
                <a:schemeClr val="tx2"/>
              </a:solidFill>
            </a:ln>
          </c:spPr>
          <c:dLbls>
            <c:dLbl>
              <c:idx val="0"/>
              <c:layout>
                <c:manualLayout>
                  <c:x val="1.6124115222797085E-17"/>
                  <c:y val="1.2638230647709321E-2"/>
                </c:manualLayout>
              </c:layout>
              <c:showVal val="1"/>
            </c:dLbl>
            <c:dLbl>
              <c:idx val="1"/>
              <c:layout>
                <c:manualLayout>
                  <c:x val="0"/>
                  <c:y val="9.4786729857820207E-3"/>
                </c:manualLayout>
              </c:layout>
              <c:showVal val="1"/>
            </c:dLbl>
            <c:dLbl>
              <c:idx val="2"/>
              <c:layout>
                <c:manualLayout>
                  <c:x val="-6.4496460891189732E-17"/>
                  <c:y val="9.4786729857820207E-3"/>
                </c:manualLayout>
              </c:layout>
              <c:showVal val="1"/>
            </c:dLbl>
            <c:dLbl>
              <c:idx val="3"/>
              <c:layout>
                <c:manualLayout>
                  <c:x val="3.5180294159891119E-3"/>
                  <c:y val="9.4786729857820207E-3"/>
                </c:manualLayout>
              </c:layout>
              <c:showVal val="1"/>
            </c:dLbl>
            <c:dLbl>
              <c:idx val="4"/>
              <c:layout>
                <c:manualLayout>
                  <c:x val="0"/>
                  <c:y val="1.154401154401158E-2"/>
                </c:manualLayout>
              </c:layout>
              <c:showVal val="1"/>
            </c:dLbl>
            <c:dLbl>
              <c:idx val="5"/>
              <c:layout>
                <c:manualLayout>
                  <c:x val="0"/>
                  <c:y val="8.6580086580087066E-3"/>
                </c:manualLayout>
              </c:layout>
              <c:showVal val="1"/>
            </c:dLbl>
            <c:txPr>
              <a:bodyPr/>
              <a:lstStyle/>
              <a:p>
                <a:pPr>
                  <a:defRPr>
                    <a:latin typeface="Arial" pitchFamily="34" charset="0"/>
                    <a:cs typeface="Arial" pitchFamily="34" charset="0"/>
                  </a:defRPr>
                </a:pPr>
                <a:endParaRPr lang="en-US"/>
              </a:p>
            </c:txPr>
            <c:showVal val="1"/>
          </c:dLbls>
          <c:cat>
            <c:numRef>
              <c:f>'1'!$A$3:$A$7</c:f>
              <c:numCache>
                <c:formatCode>General</c:formatCode>
                <c:ptCount val="5"/>
                <c:pt idx="0">
                  <c:v>2011</c:v>
                </c:pt>
                <c:pt idx="1">
                  <c:v>2012</c:v>
                </c:pt>
                <c:pt idx="2">
                  <c:v>2013</c:v>
                </c:pt>
                <c:pt idx="3">
                  <c:v>2014</c:v>
                </c:pt>
                <c:pt idx="4">
                  <c:v>2015</c:v>
                </c:pt>
              </c:numCache>
            </c:numRef>
          </c:cat>
          <c:val>
            <c:numRef>
              <c:f>'1'!$C$3:$C$8</c:f>
              <c:numCache>
                <c:formatCode>0</c:formatCode>
                <c:ptCount val="6"/>
                <c:pt idx="0">
                  <c:v>7072.2597794622534</c:v>
                </c:pt>
                <c:pt idx="1">
                  <c:v>8056.3790159074615</c:v>
                </c:pt>
                <c:pt idx="2">
                  <c:v>8022.7390333931799</c:v>
                </c:pt>
                <c:pt idx="3">
                  <c:v>8601.814354547063</c:v>
                </c:pt>
                <c:pt idx="4">
                  <c:v>7292.3061846747923</c:v>
                </c:pt>
                <c:pt idx="5">
                  <c:v>7287.4601609721949</c:v>
                </c:pt>
              </c:numCache>
            </c:numRef>
          </c:val>
        </c:ser>
        <c:ser>
          <c:idx val="2"/>
          <c:order val="2"/>
          <c:tx>
            <c:strRef>
              <c:f>'1'!$D$2</c:f>
              <c:strCache>
                <c:ptCount val="1"/>
                <c:pt idx="0">
                  <c:v>სალდო</c:v>
                </c:pt>
              </c:strCache>
            </c:strRef>
          </c:tx>
          <c:spPr>
            <a:solidFill>
              <a:schemeClr val="bg1">
                <a:lumMod val="50000"/>
              </a:schemeClr>
            </a:solidFill>
          </c:spPr>
          <c:dLbls>
            <c:dLbl>
              <c:idx val="0"/>
              <c:layout>
                <c:manualLayout>
                  <c:x val="0"/>
                  <c:y val="1.2638230647709321E-2"/>
                </c:manualLayout>
              </c:layout>
              <c:showVal val="1"/>
            </c:dLbl>
            <c:dLbl>
              <c:idx val="1"/>
              <c:layout>
                <c:manualLayout>
                  <c:x val="0"/>
                  <c:y val="9.4786729857820207E-3"/>
                </c:manualLayout>
              </c:layout>
              <c:showVal val="1"/>
            </c:dLbl>
            <c:dLbl>
              <c:idx val="2"/>
              <c:layout>
                <c:manualLayout>
                  <c:x val="0"/>
                  <c:y val="1.263823064770944E-2"/>
                </c:manualLayout>
              </c:layout>
              <c:showVal val="1"/>
            </c:dLbl>
            <c:dLbl>
              <c:idx val="3"/>
              <c:layout>
                <c:manualLayout>
                  <c:x val="0"/>
                  <c:y val="9.4786729857820207E-3"/>
                </c:manualLayout>
              </c:layout>
              <c:showVal val="1"/>
            </c:dLbl>
            <c:dLbl>
              <c:idx val="4"/>
              <c:layout>
                <c:manualLayout>
                  <c:x val="0"/>
                  <c:y val="9.4786729857820207E-3"/>
                </c:manualLayout>
              </c:layout>
              <c:showVal val="1"/>
            </c:dLbl>
            <c:dLbl>
              <c:idx val="5"/>
              <c:layout>
                <c:manualLayout>
                  <c:x val="0"/>
                  <c:y val="1.1420413990007233E-2"/>
                </c:manualLayout>
              </c:layout>
              <c:showVal val="1"/>
            </c:dLbl>
            <c:txPr>
              <a:bodyPr/>
              <a:lstStyle/>
              <a:p>
                <a:pPr>
                  <a:defRPr>
                    <a:latin typeface="Arial" pitchFamily="34" charset="0"/>
                    <a:cs typeface="Arial" pitchFamily="34" charset="0"/>
                  </a:defRPr>
                </a:pPr>
                <a:endParaRPr lang="en-US"/>
              </a:p>
            </c:txPr>
            <c:showVal val="1"/>
          </c:dLbls>
          <c:cat>
            <c:strRef>
              <c:f>'1'!$A$3:$A$8</c:f>
              <c:strCache>
                <c:ptCount val="6"/>
                <c:pt idx="0">
                  <c:v>2011</c:v>
                </c:pt>
                <c:pt idx="1">
                  <c:v>2012</c:v>
                </c:pt>
                <c:pt idx="2">
                  <c:v>2013</c:v>
                </c:pt>
                <c:pt idx="3">
                  <c:v>2014</c:v>
                </c:pt>
                <c:pt idx="4">
                  <c:v>2015</c:v>
                </c:pt>
                <c:pt idx="5">
                  <c:v>2016*</c:v>
                </c:pt>
              </c:strCache>
            </c:strRef>
          </c:cat>
          <c:val>
            <c:numRef>
              <c:f>'1'!$D$3:$D$8</c:f>
              <c:numCache>
                <c:formatCode>0</c:formatCode>
                <c:ptCount val="6"/>
                <c:pt idx="0">
                  <c:v>-4885.8385706189274</c:v>
                </c:pt>
                <c:pt idx="1">
                  <c:v>-5679.7436477011925</c:v>
                </c:pt>
                <c:pt idx="2">
                  <c:v>-5112.1018589534124</c:v>
                </c:pt>
                <c:pt idx="3">
                  <c:v>-5740.7691758760948</c:v>
                </c:pt>
                <c:pt idx="4">
                  <c:v>-5087.6219785161102</c:v>
                </c:pt>
                <c:pt idx="5">
                  <c:v>-5174.6106459441125</c:v>
                </c:pt>
              </c:numCache>
            </c:numRef>
          </c:val>
        </c:ser>
        <c:axId val="124708352"/>
        <c:axId val="124709888"/>
      </c:barChart>
      <c:catAx>
        <c:axId val="124708352"/>
        <c:scaling>
          <c:orientation val="minMax"/>
        </c:scaling>
        <c:axPos val="b"/>
        <c:numFmt formatCode="General" sourceLinked="1"/>
        <c:majorTickMark val="none"/>
        <c:tickLblPos val="nextTo"/>
        <c:txPr>
          <a:bodyPr/>
          <a:lstStyle/>
          <a:p>
            <a:pPr>
              <a:defRPr b="1">
                <a:latin typeface="Arial" pitchFamily="34" charset="0"/>
                <a:cs typeface="Arial" pitchFamily="34" charset="0"/>
              </a:defRPr>
            </a:pPr>
            <a:endParaRPr lang="en-US"/>
          </a:p>
        </c:txPr>
        <c:crossAx val="124709888"/>
        <c:crosses val="autoZero"/>
        <c:auto val="1"/>
        <c:lblAlgn val="ctr"/>
        <c:lblOffset val="100"/>
      </c:catAx>
      <c:valAx>
        <c:axId val="124709888"/>
        <c:scaling>
          <c:orientation val="minMax"/>
          <c:max val="10000"/>
          <c:min val="-8000"/>
        </c:scaling>
        <c:axPos val="l"/>
        <c:numFmt formatCode="0" sourceLinked="0"/>
        <c:tickLblPos val="nextTo"/>
        <c:txPr>
          <a:bodyPr/>
          <a:lstStyle/>
          <a:p>
            <a:pPr>
              <a:defRPr baseline="0">
                <a:latin typeface="Arial" pitchFamily="34" charset="0"/>
              </a:defRPr>
            </a:pPr>
            <a:endParaRPr lang="en-US"/>
          </a:p>
        </c:txPr>
        <c:crossAx val="124708352"/>
        <c:crosses val="autoZero"/>
        <c:crossBetween val="between"/>
        <c:majorUnit val="2000"/>
        <c:minorUnit val="40"/>
      </c:valAx>
    </c:plotArea>
    <c:legend>
      <c:legendPos val="r"/>
      <c:layout>
        <c:manualLayout>
          <c:xMode val="edge"/>
          <c:yMode val="edge"/>
          <c:x val="3.6096768330230278E-3"/>
          <c:y val="0.9227855152922867"/>
          <c:w val="0.99415557521628939"/>
          <c:h val="7.5730278190547021E-2"/>
        </c:manualLayout>
      </c:layout>
    </c:legend>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sz="900">
                <a:latin typeface="Sylfaen" pitchFamily="18" charset="0"/>
              </a:defRPr>
            </a:pPr>
            <a:r>
              <a:rPr lang="ka-GE" sz="900" b="1" i="0" baseline="0">
                <a:latin typeface="Sylfaen" pitchFamily="18" charset="0"/>
              </a:rPr>
              <a:t>ქვეყნების ჯგუფების წილი ექსპორტში </a:t>
            </a:r>
            <a:endParaRPr lang="ru-RU" sz="900">
              <a:latin typeface="Sylfaen" pitchFamily="18" charset="0"/>
            </a:endParaRPr>
          </a:p>
          <a:p>
            <a:pPr>
              <a:defRPr lang="ru-RU" sz="900">
                <a:latin typeface="Sylfaen" pitchFamily="18" charset="0"/>
              </a:defRPr>
            </a:pPr>
            <a:r>
              <a:rPr lang="ka-GE" sz="900" b="1" i="0" baseline="0">
                <a:latin typeface="Sylfaen" pitchFamily="18" charset="0"/>
              </a:rPr>
              <a:t>201</a:t>
            </a:r>
            <a:r>
              <a:rPr lang="en-US" sz="900" b="1" i="0" baseline="0">
                <a:latin typeface="Sylfaen" pitchFamily="18" charset="0"/>
              </a:rPr>
              <a:t>6*</a:t>
            </a:r>
            <a:r>
              <a:rPr lang="ka-GE" sz="900" b="1" i="0" baseline="0">
                <a:latin typeface="Sylfaen" pitchFamily="18" charset="0"/>
              </a:rPr>
              <a:t> წელს</a:t>
            </a:r>
            <a:endParaRPr lang="ka-GE" sz="900" b="1" i="0" u="none" strike="noStrike" baseline="0">
              <a:latin typeface="Sylfaen" pitchFamily="18" charset="0"/>
            </a:endParaRPr>
          </a:p>
        </c:rich>
      </c:tx>
      <c:layout>
        <c:manualLayout>
          <c:xMode val="edge"/>
          <c:yMode val="edge"/>
          <c:x val="0.17747178854789636"/>
          <c:y val="0"/>
        </c:manualLayout>
      </c:layout>
    </c:title>
    <c:plotArea>
      <c:layout>
        <c:manualLayout>
          <c:layoutTarget val="inner"/>
          <c:xMode val="edge"/>
          <c:yMode val="edge"/>
          <c:x val="7.8478328575555065E-3"/>
          <c:y val="0.10639797811907215"/>
          <c:w val="0.96022003269084866"/>
          <c:h val="0.88462495954591869"/>
        </c:manualLayout>
      </c:layout>
      <c:pieChart>
        <c:varyColors val="1"/>
        <c:ser>
          <c:idx val="0"/>
          <c:order val="0"/>
          <c:dLbls>
            <c:dLbl>
              <c:idx val="0"/>
              <c:layout>
                <c:manualLayout>
                  <c:x val="-0.22066493216600724"/>
                  <c:y val="0.24564536050641564"/>
                </c:manualLayout>
              </c:layout>
              <c:tx>
                <c:rich>
                  <a:bodyPr/>
                  <a:lstStyle/>
                  <a:p>
                    <a:r>
                      <a:rPr>
                        <a:latin typeface="Sylfaen" pitchFamily="18" charset="0"/>
                      </a:rPr>
                      <a:t>ევროკავშირის ქვეყნები
2</a:t>
                    </a:r>
                    <a:r>
                      <a:rPr lang="ka-GE">
                        <a:latin typeface="Sylfaen" pitchFamily="18" charset="0"/>
                      </a:rPr>
                      <a:t>7</a:t>
                    </a:r>
                    <a:r>
                      <a:rPr>
                        <a:latin typeface="Sylfaen" pitchFamily="18" charset="0"/>
                      </a:rPr>
                      <a:t>%</a:t>
                    </a:r>
                  </a:p>
                </c:rich>
              </c:tx>
              <c:showCatName val="1"/>
              <c:showPercent val="1"/>
            </c:dLbl>
            <c:dLbl>
              <c:idx val="1"/>
              <c:layout>
                <c:manualLayout>
                  <c:x val="-0.23378114893319993"/>
                  <c:y val="-0.23788216691052538"/>
                </c:manualLayout>
              </c:layout>
              <c:tx>
                <c:rich>
                  <a:bodyPr/>
                  <a:lstStyle/>
                  <a:p>
                    <a:r>
                      <a:rPr lang="en-US" sz="900" b="0" i="0" u="none" strike="noStrike" baseline="0">
                        <a:latin typeface="Sylfaen" pitchFamily="18" charset="0"/>
                      </a:rPr>
                      <a:t>დსთ-ის ქვეყნები</a:t>
                    </a:r>
                    <a:r>
                      <a:rPr sz="900">
                        <a:latin typeface="Sylfaen" pitchFamily="18" charset="0"/>
                      </a:rPr>
                      <a:t>
</a:t>
                    </a:r>
                    <a:r>
                      <a:rPr lang="ka-GE" sz="900">
                        <a:latin typeface="Sylfaen" pitchFamily="18" charset="0"/>
                      </a:rPr>
                      <a:t>35</a:t>
                    </a:r>
                    <a:r>
                      <a:rPr sz="900">
                        <a:latin typeface="Sylfaen" pitchFamily="18" charset="0"/>
                      </a:rPr>
                      <a:t>%</a:t>
                    </a:r>
                  </a:p>
                </c:rich>
              </c:tx>
              <c:showCatName val="1"/>
              <c:showPercent val="1"/>
            </c:dLbl>
            <c:dLbl>
              <c:idx val="2"/>
              <c:layout>
                <c:manualLayout>
                  <c:x val="0.19038514428048314"/>
                  <c:y val="-7.2091247811330708E-2"/>
                </c:manualLayout>
              </c:layout>
              <c:tx>
                <c:rich>
                  <a:bodyPr/>
                  <a:lstStyle/>
                  <a:p>
                    <a:r>
                      <a:rPr>
                        <a:latin typeface="Sylfaen" pitchFamily="18" charset="0"/>
                      </a:rPr>
                      <a:t>დანარჩენი ქვეყნები
</a:t>
                    </a:r>
                    <a:r>
                      <a:rPr lang="ka-GE">
                        <a:latin typeface="Sylfaen" pitchFamily="18" charset="0"/>
                      </a:rPr>
                      <a:t>38</a:t>
                    </a:r>
                    <a:r>
                      <a:rPr>
                        <a:latin typeface="Sylfaen" pitchFamily="18" charset="0"/>
                      </a:rPr>
                      <a:t>%</a:t>
                    </a:r>
                  </a:p>
                </c:rich>
              </c:tx>
              <c:showCatName val="1"/>
              <c:showPercent val="1"/>
            </c:dLbl>
            <c:txPr>
              <a:bodyPr/>
              <a:lstStyle/>
              <a:p>
                <a:pPr>
                  <a:defRPr lang="ru-RU" sz="900">
                    <a:latin typeface="Sylfaen" pitchFamily="18" charset="0"/>
                  </a:defRPr>
                </a:pPr>
                <a:endParaRPr lang="en-US"/>
              </a:p>
            </c:txPr>
            <c:showCatName val="1"/>
            <c:showPercent val="1"/>
            <c:showLeaderLines val="1"/>
          </c:dLbls>
          <c:cat>
            <c:strRef>
              <c:f>'ექსპორტი-ქვეყ.ჯგ'!$A$5:$A$7</c:f>
              <c:strCache>
                <c:ptCount val="3"/>
                <c:pt idx="0">
                  <c:v>ევროკავშირის ქვეყნები</c:v>
                </c:pt>
                <c:pt idx="1">
                  <c:v>დსთ-ის ქვეყნები</c:v>
                </c:pt>
                <c:pt idx="2">
                  <c:v>დანარჩენი ქვეყნები</c:v>
                </c:pt>
              </c:strCache>
            </c:strRef>
          </c:cat>
          <c:val>
            <c:numRef>
              <c:f>'ექსპორტი-ქვეყ.ჯგ'!$B$5:$B$7</c:f>
              <c:numCache>
                <c:formatCode>#,##0</c:formatCode>
                <c:ptCount val="3"/>
                <c:pt idx="0">
                  <c:v>25</c:v>
                </c:pt>
                <c:pt idx="1">
                  <c:v>29</c:v>
                </c:pt>
                <c:pt idx="2">
                  <c:v>46</c:v>
                </c:pt>
              </c:numCache>
            </c:numRef>
          </c:val>
        </c:ser>
        <c:dLbls>
          <c:showCatName val="1"/>
        </c:dLbls>
        <c:firstSliceAng val="0"/>
      </c:pieChart>
    </c:plotArea>
    <c:plotVisOnly val="1"/>
  </c:chart>
  <c:spPr>
    <a:solidFill>
      <a:sysClr val="window" lastClr="FFFFFF"/>
    </a:solidFill>
    <a:ln>
      <a:no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sz="900">
                <a:latin typeface="AcadNusx" pitchFamily="2" charset="0"/>
              </a:defRPr>
            </a:pPr>
            <a:r>
              <a:rPr lang="ka-GE" sz="900" b="1" i="0" baseline="0"/>
              <a:t>ქვეყნების ჯგუფების წილი იმპორტში</a:t>
            </a:r>
            <a:endParaRPr lang="ru-RU" sz="900"/>
          </a:p>
          <a:p>
            <a:pPr>
              <a:defRPr lang="ru-RU" sz="900">
                <a:latin typeface="AcadNusx" pitchFamily="2" charset="0"/>
              </a:defRPr>
            </a:pPr>
            <a:r>
              <a:rPr lang="ka-GE" sz="900" b="1" i="0" baseline="0"/>
              <a:t>201</a:t>
            </a:r>
            <a:r>
              <a:rPr lang="en-US" sz="900" b="1" i="0" baseline="0"/>
              <a:t>6*</a:t>
            </a:r>
            <a:r>
              <a:rPr lang="ka-GE" sz="900" b="1" i="0" baseline="0"/>
              <a:t> წელს </a:t>
            </a:r>
            <a:endParaRPr lang="en-US" sz="900" b="1" i="0" baseline="0"/>
          </a:p>
        </c:rich>
      </c:tx>
      <c:layout>
        <c:manualLayout>
          <c:xMode val="edge"/>
          <c:yMode val="edge"/>
          <c:x val="0.22965847135630721"/>
          <c:y val="2.7825079413610627E-2"/>
        </c:manualLayout>
      </c:layout>
    </c:title>
    <c:plotArea>
      <c:layout>
        <c:manualLayout>
          <c:layoutTarget val="inner"/>
          <c:xMode val="edge"/>
          <c:yMode val="edge"/>
          <c:x val="9.8797128021241562E-2"/>
          <c:y val="0.12753102356016591"/>
          <c:w val="0.90120287197875859"/>
          <c:h val="0.8650342173151635"/>
        </c:manualLayout>
      </c:layout>
      <c:pieChart>
        <c:varyColors val="1"/>
        <c:ser>
          <c:idx val="0"/>
          <c:order val="0"/>
          <c:dLbls>
            <c:dLbl>
              <c:idx val="0"/>
              <c:layout>
                <c:manualLayout>
                  <c:x val="-0.19010734102604454"/>
                  <c:y val="0.17199855792458862"/>
                </c:manualLayout>
              </c:layout>
              <c:showCatName val="1"/>
              <c:showPercent val="1"/>
            </c:dLbl>
            <c:dLbl>
              <c:idx val="1"/>
              <c:layout>
                <c:manualLayout>
                  <c:x val="-0.15470186260889529"/>
                  <c:y val="-0.1468102591745539"/>
                </c:manualLayout>
              </c:layout>
              <c:showCatName val="1"/>
              <c:showPercent val="1"/>
            </c:dLbl>
            <c:dLbl>
              <c:idx val="2"/>
              <c:layout>
                <c:manualLayout>
                  <c:x val="0.25027855846390479"/>
                  <c:y val="-2.0257453516094356E-2"/>
                </c:manualLayout>
              </c:layout>
              <c:showCatName val="1"/>
              <c:showPercent val="1"/>
            </c:dLbl>
            <c:txPr>
              <a:bodyPr/>
              <a:lstStyle/>
              <a:p>
                <a:pPr>
                  <a:defRPr lang="ru-RU" sz="900">
                    <a:latin typeface="Sylfaen" pitchFamily="18" charset="0"/>
                  </a:defRPr>
                </a:pPr>
                <a:endParaRPr lang="en-US"/>
              </a:p>
            </c:txPr>
            <c:showCatName val="1"/>
            <c:showPercent val="1"/>
          </c:dLbls>
          <c:cat>
            <c:strRef>
              <c:f>'იმპორტი-ქვეყ.ჯგ'!$A$3:$A$5</c:f>
              <c:strCache>
                <c:ptCount val="3"/>
                <c:pt idx="0">
                  <c:v>ევროკავშირის ქვეყნები</c:v>
                </c:pt>
                <c:pt idx="1">
                  <c:v>დსთ-ის ქვეყნები</c:v>
                </c:pt>
                <c:pt idx="2">
                  <c:v>დანარჩენი ქვეყნები</c:v>
                </c:pt>
              </c:strCache>
            </c:strRef>
          </c:cat>
          <c:val>
            <c:numRef>
              <c:f>'იმპორტი-ქვეყ.ჯგ'!$B$3:$B$5</c:f>
              <c:numCache>
                <c:formatCode>0</c:formatCode>
                <c:ptCount val="3"/>
                <c:pt idx="0">
                  <c:v>30</c:v>
                </c:pt>
                <c:pt idx="1">
                  <c:v>27</c:v>
                </c:pt>
                <c:pt idx="2">
                  <c:v>43</c:v>
                </c:pt>
              </c:numCache>
            </c:numRef>
          </c:val>
        </c:ser>
        <c:dLbls>
          <c:showCatName val="1"/>
          <c:showPercent val="1"/>
        </c:dLbls>
        <c:firstSliceAng val="0"/>
      </c:pieChart>
    </c:plotArea>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en-US" sz="1000" b="1" i="0" u="none" strike="noStrike" baseline="0">
                <a:solidFill>
                  <a:srgbClr val="000000"/>
                </a:solidFill>
                <a:latin typeface="AcadNusx"/>
                <a:ea typeface="AcadNusx"/>
                <a:cs typeface="AcadNusx"/>
              </a:defRPr>
            </a:pPr>
            <a:r>
              <a:rPr lang="ka-GE" sz="1000" baseline="0"/>
              <a:t>ათი უმსხვილესი სავაჭრო პარტნიორი </a:t>
            </a:r>
            <a:r>
              <a:rPr lang="ka-GE" sz="1000" baseline="0">
                <a:cs typeface="Arial" pitchFamily="34" charset="0"/>
              </a:rPr>
              <a:t>ქვეყანა </a:t>
            </a:r>
            <a:r>
              <a:rPr lang="ka-GE" sz="1000" b="1" i="0" u="none" strike="noStrike" kern="1200" baseline="0">
                <a:solidFill>
                  <a:srgbClr val="000000"/>
                </a:solidFill>
                <a:latin typeface="AcadNusx"/>
                <a:ea typeface="AcadNusx"/>
                <a:cs typeface="AcadNusx"/>
              </a:rPr>
              <a:t>201</a:t>
            </a:r>
            <a:r>
              <a:rPr lang="en-US" sz="1000" b="1" i="0" u="none" strike="noStrike" kern="1200" baseline="0">
                <a:solidFill>
                  <a:srgbClr val="000000"/>
                </a:solidFill>
                <a:latin typeface="AcadNusx"/>
                <a:ea typeface="AcadNusx"/>
                <a:cs typeface="AcadNusx"/>
              </a:rPr>
              <a:t>6*</a:t>
            </a:r>
            <a:r>
              <a:rPr lang="ka-GE" sz="1000" b="1" i="0" u="none" strike="noStrike" kern="1200" baseline="0">
                <a:solidFill>
                  <a:srgbClr val="000000"/>
                </a:solidFill>
                <a:latin typeface="AcadNusx"/>
                <a:ea typeface="AcadNusx"/>
                <a:cs typeface="AcadNusx"/>
              </a:rPr>
              <a:t> </a:t>
            </a:r>
            <a:r>
              <a:rPr lang="ka-GE" sz="1000" b="1" i="0" u="none" strike="noStrike" baseline="0"/>
              <a:t>წელს </a:t>
            </a:r>
            <a:endParaRPr lang="ka-GE" sz="1000" b="1" i="0" u="none" strike="noStrike" kern="1200" baseline="0">
              <a:solidFill>
                <a:srgbClr val="000000"/>
              </a:solidFill>
              <a:latin typeface="AcadNusx"/>
              <a:ea typeface="AcadNusx"/>
              <a:cs typeface="AcadNusx"/>
            </a:endParaRPr>
          </a:p>
          <a:p>
            <a:pPr algn="ctr">
              <a:defRPr lang="en-US" sz="1000" b="1" i="0" u="none" strike="noStrike" baseline="0">
                <a:solidFill>
                  <a:srgbClr val="000000"/>
                </a:solidFill>
                <a:latin typeface="AcadNusx"/>
                <a:ea typeface="AcadNusx"/>
                <a:cs typeface="AcadNusx"/>
              </a:defRPr>
            </a:pPr>
            <a:r>
              <a:rPr lang="ka-GE" sz="1000" baseline="0"/>
              <a:t>(მლნ. აშშ დოლარი) </a:t>
            </a:r>
            <a:endParaRPr lang="en-US" sz="1000" baseline="0"/>
          </a:p>
        </c:rich>
      </c:tx>
      <c:layout>
        <c:manualLayout>
          <c:xMode val="edge"/>
          <c:yMode val="edge"/>
          <c:x val="0.25368393438247788"/>
          <c:y val="2.4178118446486472E-3"/>
        </c:manualLayout>
      </c:layout>
      <c:spPr>
        <a:noFill/>
        <a:ln w="25400">
          <a:noFill/>
        </a:ln>
      </c:spPr>
    </c:title>
    <c:plotArea>
      <c:layout>
        <c:manualLayout>
          <c:layoutTarget val="inner"/>
          <c:xMode val="edge"/>
          <c:yMode val="edge"/>
          <c:x val="6.8074710016086712E-2"/>
          <c:y val="0.17114696766544271"/>
          <c:w val="0.92676399661875064"/>
          <c:h val="0.54650703625751473"/>
        </c:manualLayout>
      </c:layout>
      <c:barChart>
        <c:barDir val="col"/>
        <c:grouping val="clustered"/>
        <c:ser>
          <c:idx val="0"/>
          <c:order val="0"/>
          <c:tx>
            <c:strRef>
              <c:f>'3'!$B$2</c:f>
              <c:strCache>
                <c:ptCount val="1"/>
                <c:pt idx="0">
                  <c:v>ექსპორტი</c:v>
                </c:pt>
              </c:strCache>
            </c:strRef>
          </c:tx>
          <c:spPr>
            <a:solidFill>
              <a:srgbClr val="FF0000"/>
            </a:solidFill>
            <a:ln w="25400">
              <a:noFill/>
            </a:ln>
          </c:spPr>
          <c:cat>
            <c:strRef>
              <c:f>'3'!$A$3:$A$12</c:f>
              <c:strCache>
                <c:ptCount val="10"/>
                <c:pt idx="0">
                  <c:v>თურქეთი</c:v>
                </c:pt>
                <c:pt idx="1">
                  <c:v>რუსეთი</c:v>
                </c:pt>
                <c:pt idx="2">
                  <c:v>ჩინეთი</c:v>
                </c:pt>
                <c:pt idx="3">
                  <c:v>აზერბაიჯანი</c:v>
                </c:pt>
                <c:pt idx="4">
                  <c:v>გერმანია</c:v>
                </c:pt>
                <c:pt idx="5">
                  <c:v>უკრაინა</c:v>
                </c:pt>
                <c:pt idx="6">
                  <c:v>სომხეთი</c:v>
                </c:pt>
                <c:pt idx="7">
                  <c:v>იტალია</c:v>
                </c:pt>
                <c:pt idx="8">
                  <c:v>ბულგარეთი</c:v>
                </c:pt>
                <c:pt idx="9">
                  <c:v>აშშ</c:v>
                </c:pt>
              </c:strCache>
            </c:strRef>
          </c:cat>
          <c:val>
            <c:numRef>
              <c:f>'3'!$B$3:$B$12</c:f>
              <c:numCache>
                <c:formatCode>#,##0</c:formatCode>
                <c:ptCount val="10"/>
                <c:pt idx="0">
                  <c:v>173.56884096705727</c:v>
                </c:pt>
                <c:pt idx="1">
                  <c:v>206.22530909687399</c:v>
                </c:pt>
                <c:pt idx="2">
                  <c:v>169.58685484723046</c:v>
                </c:pt>
                <c:pt idx="3">
                  <c:v>153.46407871574036</c:v>
                </c:pt>
                <c:pt idx="4">
                  <c:v>85.313532788321353</c:v>
                </c:pt>
                <c:pt idx="5">
                  <c:v>73.254226000158965</c:v>
                </c:pt>
                <c:pt idx="6">
                  <c:v>150.64578261069713</c:v>
                </c:pt>
                <c:pt idx="7">
                  <c:v>72.470968404105164</c:v>
                </c:pt>
                <c:pt idx="8">
                  <c:v>167.15933564045238</c:v>
                </c:pt>
                <c:pt idx="9">
                  <c:v>68.258062768154119</c:v>
                </c:pt>
              </c:numCache>
            </c:numRef>
          </c:val>
        </c:ser>
        <c:ser>
          <c:idx val="1"/>
          <c:order val="1"/>
          <c:tx>
            <c:strRef>
              <c:f>'3'!$C$2</c:f>
              <c:strCache>
                <c:ptCount val="1"/>
                <c:pt idx="0">
                  <c:v>იმპორტი</c:v>
                </c:pt>
              </c:strCache>
            </c:strRef>
          </c:tx>
          <c:spPr>
            <a:solidFill>
              <a:srgbClr val="000080"/>
            </a:solidFill>
            <a:ln w="25400">
              <a:noFill/>
            </a:ln>
          </c:spPr>
          <c:cat>
            <c:strRef>
              <c:f>'3'!$A$3:$A$12</c:f>
              <c:strCache>
                <c:ptCount val="10"/>
                <c:pt idx="0">
                  <c:v>თურქეთი</c:v>
                </c:pt>
                <c:pt idx="1">
                  <c:v>რუსეთი</c:v>
                </c:pt>
                <c:pt idx="2">
                  <c:v>ჩინეთი</c:v>
                </c:pt>
                <c:pt idx="3">
                  <c:v>აზერბაიჯანი</c:v>
                </c:pt>
                <c:pt idx="4">
                  <c:v>გერმანია</c:v>
                </c:pt>
                <c:pt idx="5">
                  <c:v>უკრაინა</c:v>
                </c:pt>
                <c:pt idx="6">
                  <c:v>სომხეთი</c:v>
                </c:pt>
                <c:pt idx="7">
                  <c:v>იტალია</c:v>
                </c:pt>
                <c:pt idx="8">
                  <c:v>ბულგარეთი</c:v>
                </c:pt>
                <c:pt idx="9">
                  <c:v>აშშ</c:v>
                </c:pt>
              </c:strCache>
            </c:strRef>
          </c:cat>
          <c:val>
            <c:numRef>
              <c:f>'3'!$C$3:$C$12</c:f>
              <c:numCache>
                <c:formatCode>#,##0</c:formatCode>
                <c:ptCount val="10"/>
                <c:pt idx="0">
                  <c:v>1352.609382938896</c:v>
                </c:pt>
                <c:pt idx="1">
                  <c:v>674.9477297366559</c:v>
                </c:pt>
                <c:pt idx="2">
                  <c:v>547.50316988587338</c:v>
                </c:pt>
                <c:pt idx="3">
                  <c:v>495.38200200793983</c:v>
                </c:pt>
                <c:pt idx="4">
                  <c:v>419.57049243712839</c:v>
                </c:pt>
                <c:pt idx="5">
                  <c:v>417.75821972748349</c:v>
                </c:pt>
                <c:pt idx="6">
                  <c:v>216.79013240514072</c:v>
                </c:pt>
                <c:pt idx="7">
                  <c:v>262.82646514512197</c:v>
                </c:pt>
                <c:pt idx="8">
                  <c:v>150.3927129525697</c:v>
                </c:pt>
                <c:pt idx="9">
                  <c:v>213.74908816091136</c:v>
                </c:pt>
              </c:numCache>
            </c:numRef>
          </c:val>
        </c:ser>
        <c:gapWidth val="106"/>
        <c:overlap val="1"/>
        <c:axId val="124992512"/>
        <c:axId val="125002496"/>
      </c:barChart>
      <c:catAx>
        <c:axId val="124992512"/>
        <c:scaling>
          <c:orientation val="minMax"/>
        </c:scaling>
        <c:axPos val="b"/>
        <c:numFmt formatCode="General" sourceLinked="1"/>
        <c:majorTickMark val="none"/>
        <c:tickLblPos val="nextTo"/>
        <c:spPr>
          <a:ln w="3175">
            <a:solidFill>
              <a:srgbClr val="000000"/>
            </a:solidFill>
            <a:prstDash val="solid"/>
          </a:ln>
        </c:spPr>
        <c:txPr>
          <a:bodyPr rot="-2700000" vert="horz"/>
          <a:lstStyle/>
          <a:p>
            <a:pPr>
              <a:defRPr lang="en-US" sz="1000" b="0" i="0" u="none" strike="noStrike" baseline="0">
                <a:solidFill>
                  <a:srgbClr val="000000"/>
                </a:solidFill>
                <a:latin typeface="AcadNusx"/>
                <a:ea typeface="AcadNusx"/>
                <a:cs typeface="AcadNusx"/>
              </a:defRPr>
            </a:pPr>
            <a:endParaRPr lang="en-US"/>
          </a:p>
        </c:txPr>
        <c:crossAx val="125002496"/>
        <c:crossesAt val="0"/>
        <c:auto val="1"/>
        <c:lblAlgn val="ctr"/>
        <c:lblOffset val="100"/>
        <c:tickLblSkip val="1"/>
        <c:tickMarkSkip val="1"/>
      </c:catAx>
      <c:valAx>
        <c:axId val="125002496"/>
        <c:scaling>
          <c:orientation val="minMax"/>
          <c:max val="1500"/>
          <c:min val="0"/>
        </c:scaling>
        <c:axPos val="l"/>
        <c:majorGridlines>
          <c:spPr>
            <a:ln w="3175">
              <a:solidFill>
                <a:srgbClr val="FFFFFF"/>
              </a:solidFill>
              <a:prstDash val="solid"/>
            </a:ln>
          </c:spPr>
        </c:majorGridlines>
        <c:numFmt formatCode="#,##0" sourceLinked="0"/>
        <c:tickLblPos val="nextTo"/>
        <c:spPr>
          <a:noFill/>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124992512"/>
        <c:crossesAt val="1"/>
        <c:crossBetween val="between"/>
        <c:majorUnit val="300"/>
        <c:minorUnit val="5"/>
      </c:valAx>
    </c:plotArea>
    <c:legend>
      <c:legendPos val="r"/>
      <c:layout>
        <c:manualLayout>
          <c:xMode val="edge"/>
          <c:yMode val="edge"/>
          <c:x val="0.19330456191048367"/>
          <c:y val="0.95042541805754432"/>
          <c:w val="0.65340448696331765"/>
          <c:h val="4.2186461818804678E-2"/>
        </c:manualLayout>
      </c:layout>
      <c:spPr>
        <a:solidFill>
          <a:srgbClr val="FFFFFF"/>
        </a:solidFill>
        <a:ln w="25400">
          <a:noFill/>
        </a:ln>
      </c:spPr>
      <c:txPr>
        <a:bodyPr/>
        <a:lstStyle/>
        <a:p>
          <a:pPr>
            <a:defRPr lang="en-US" sz="1000" b="0" i="0" u="none" strike="noStrike" baseline="0">
              <a:solidFill>
                <a:srgbClr val="000000"/>
              </a:solidFill>
              <a:latin typeface="AcadNusx"/>
              <a:ea typeface="AcadNusx"/>
              <a:cs typeface="AcadNusx"/>
            </a:defRPr>
          </a:pPr>
          <a:endParaRPr lang="en-US"/>
        </a:p>
      </c:txPr>
    </c:legend>
    <c:plotVisOnly val="1"/>
    <c:dispBlanksAs val="gap"/>
  </c:chart>
  <c:spPr>
    <a:noFill/>
    <a:ln w="9525">
      <a:noFill/>
    </a:ln>
  </c:spPr>
  <c:txPr>
    <a:bodyPr/>
    <a:lstStyle/>
    <a:p>
      <a:pPr>
        <a:defRPr sz="1000" b="0" i="0" u="none" strike="noStrike" baseline="0">
          <a:solidFill>
            <a:srgbClr val="000000"/>
          </a:solidFill>
          <a:latin typeface="AcadNusx"/>
          <a:ea typeface="AcadNusx"/>
          <a:cs typeface="AcadNusx"/>
        </a:defRPr>
      </a:pPr>
      <a:endParaRPr lang="en-US"/>
    </a:p>
  </c:tx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sz="1000"/>
            </a:pPr>
            <a:r>
              <a:rPr lang="ka-GE" sz="1000" b="1" i="0" baseline="0"/>
              <a:t>უმსხვილესი  საექსპორტო  საქონლის  ათეული  </a:t>
            </a:r>
            <a:r>
              <a:rPr lang="ka-GE" sz="1000" b="1" i="0" u="none" strike="noStrike" baseline="0"/>
              <a:t>201</a:t>
            </a:r>
            <a:r>
              <a:rPr lang="en-US" sz="1000" b="1" i="0" u="none" strike="noStrike" baseline="0"/>
              <a:t>6*</a:t>
            </a:r>
            <a:r>
              <a:rPr lang="ka-GE" sz="1000" b="1" i="0" u="none" strike="noStrike" baseline="0"/>
              <a:t> წელს (%)  </a:t>
            </a:r>
            <a:r>
              <a:rPr lang="en-US" sz="1000" b="1" i="0" u="none" strike="noStrike" baseline="0"/>
              <a:t> </a:t>
            </a:r>
            <a:r>
              <a:rPr lang="ka-GE" sz="1000" b="1" i="0" u="none" strike="noStrike" baseline="0"/>
              <a:t>  </a:t>
            </a:r>
            <a:r>
              <a:rPr lang="en-US" sz="1000" b="1" i="0" u="none" strike="noStrike" baseline="0"/>
              <a:t> </a:t>
            </a:r>
            <a:r>
              <a:rPr lang="ka-GE" sz="1000" b="1" i="0" u="none" strike="noStrike" baseline="0"/>
              <a:t> </a:t>
            </a:r>
            <a:endParaRPr lang="en-US" sz="1000"/>
          </a:p>
        </c:rich>
      </c:tx>
      <c:layout>
        <c:manualLayout>
          <c:xMode val="edge"/>
          <c:yMode val="edge"/>
          <c:x val="0.19406691645761875"/>
          <c:y val="0"/>
        </c:manualLayout>
      </c:layout>
    </c:title>
    <c:plotArea>
      <c:layout>
        <c:manualLayout>
          <c:layoutTarget val="inner"/>
          <c:xMode val="edge"/>
          <c:yMode val="edge"/>
          <c:x val="0.23395512163699295"/>
          <c:y val="0.10298706109336413"/>
          <c:w val="0.47742563174218416"/>
          <c:h val="0.79497957393493202"/>
        </c:manualLayout>
      </c:layout>
      <c:pieChart>
        <c:varyColors val="1"/>
        <c:ser>
          <c:idx val="0"/>
          <c:order val="0"/>
          <c:dLbls>
            <c:dLbl>
              <c:idx val="0"/>
              <c:layout>
                <c:manualLayout>
                  <c:x val="3.1672671849811242E-2"/>
                  <c:y val="6.6735750929014154E-2"/>
                </c:manualLayout>
              </c:layout>
              <c:showVal val="1"/>
              <c:showCatName val="1"/>
              <c:separator>
</c:separator>
            </c:dLbl>
            <c:dLbl>
              <c:idx val="1"/>
              <c:layout>
                <c:manualLayout>
                  <c:x val="2.2457984821173723E-2"/>
                  <c:y val="2.2509955481556064E-2"/>
                </c:manualLayout>
              </c:layout>
              <c:showVal val="1"/>
              <c:showCatName val="1"/>
              <c:separator>
</c:separator>
            </c:dLbl>
            <c:dLbl>
              <c:idx val="2"/>
              <c:layout>
                <c:manualLayout>
                  <c:x val="3.607052517817289E-3"/>
                  <c:y val="-1.2081413379167323E-2"/>
                </c:manualLayout>
              </c:layout>
              <c:showVal val="1"/>
              <c:showCatName val="1"/>
              <c:separator>
</c:separator>
            </c:dLbl>
            <c:dLbl>
              <c:idx val="3"/>
              <c:layout>
                <c:manualLayout>
                  <c:x val="2.146171227557914E-2"/>
                  <c:y val="-8.9678493054077782E-2"/>
                </c:manualLayout>
              </c:layout>
              <c:showVal val="1"/>
              <c:showCatName val="1"/>
              <c:separator>
</c:separator>
            </c:dLbl>
            <c:dLbl>
              <c:idx val="4"/>
              <c:layout>
                <c:manualLayout>
                  <c:x val="9.0153718636559313E-2"/>
                  <c:y val="-7.1570639289502719E-2"/>
                </c:manualLayout>
              </c:layout>
              <c:showVal val="1"/>
              <c:showCatName val="1"/>
              <c:separator>
</c:separator>
            </c:dLbl>
            <c:dLbl>
              <c:idx val="5"/>
              <c:layout>
                <c:manualLayout>
                  <c:x val="8.979607593112085E-2"/>
                  <c:y val="0"/>
                </c:manualLayout>
              </c:layout>
              <c:showVal val="1"/>
              <c:showCatName val="1"/>
              <c:separator>
</c:separator>
            </c:dLbl>
            <c:dLbl>
              <c:idx val="6"/>
              <c:layout>
                <c:manualLayout>
                  <c:x val="-0.1234220015444316"/>
                  <c:y val="0"/>
                </c:manualLayout>
              </c:layout>
              <c:showVal val="1"/>
              <c:showCatName val="1"/>
              <c:separator>
</c:separator>
            </c:dLbl>
            <c:dLbl>
              <c:idx val="7"/>
              <c:layout>
                <c:manualLayout>
                  <c:x val="-0.10891197553174656"/>
                  <c:y val="-8.9334372700706863E-2"/>
                </c:manualLayout>
              </c:layout>
              <c:showVal val="1"/>
              <c:showCatName val="1"/>
              <c:separator>
</c:separator>
            </c:dLbl>
            <c:dLbl>
              <c:idx val="8"/>
              <c:layout>
                <c:manualLayout>
                  <c:x val="-8.6882459153834843E-2"/>
                  <c:y val="-0.13992376549780541"/>
                </c:manualLayout>
              </c:layout>
              <c:showVal val="1"/>
              <c:showCatName val="1"/>
              <c:separator>
</c:separator>
            </c:dLbl>
            <c:dLbl>
              <c:idx val="9"/>
              <c:layout>
                <c:manualLayout>
                  <c:x val="-7.4115095409397508E-2"/>
                  <c:y val="-0.1607860455850085"/>
                </c:manualLayout>
              </c:layout>
              <c:showVal val="1"/>
              <c:showCatName val="1"/>
              <c:separator>
</c:separator>
            </c:dLbl>
            <c:dLbl>
              <c:idx val="10"/>
              <c:layout>
                <c:manualLayout>
                  <c:x val="0.21922954619861371"/>
                  <c:y val="8.9348726801790013E-2"/>
                </c:manualLayout>
              </c:layout>
              <c:dLblPos val="bestFit"/>
              <c:showVal val="1"/>
              <c:showCatName val="1"/>
              <c:separator>
</c:separator>
            </c:dLbl>
            <c:txPr>
              <a:bodyPr/>
              <a:lstStyle/>
              <a:p>
                <a:pPr>
                  <a:defRPr lang="ru-RU">
                    <a:latin typeface="Arial" pitchFamily="34" charset="0"/>
                    <a:cs typeface="Arial" pitchFamily="34" charset="0"/>
                  </a:defRPr>
                </a:pPr>
                <a:endParaRPr lang="en-US"/>
              </a:p>
            </c:txPr>
            <c:showVal val="1"/>
            <c:showCatName val="1"/>
            <c:separator>
</c:separator>
            <c:showLeaderLines val="1"/>
          </c:dLbls>
          <c:cat>
            <c:strRef>
              <c:f>'g-EX'!$A$2:$A$12</c:f>
              <c:strCache>
                <c:ptCount val="11"/>
                <c:pt idx="0">
                  <c:v>სპილენძის მადნები</c:v>
                </c:pt>
                <c:pt idx="1">
                  <c:v>თხილი</c:v>
                </c:pt>
                <c:pt idx="2">
                  <c:v>ფეროშენადნობები</c:v>
                </c:pt>
                <c:pt idx="3">
                  <c:v>მსუბუქი ავტომობილები</c:v>
                </c:pt>
                <c:pt idx="4">
                  <c:v>ღვინო</c:v>
                </c:pt>
                <c:pt idx="5">
                  <c:v>სამკურნალო საშუალებები</c:v>
                </c:pt>
                <c:pt idx="6">
                  <c:v>სპირტიანი სასმელები</c:v>
                </c:pt>
                <c:pt idx="7">
                  <c:v>ოქრო</c:v>
                </c:pt>
                <c:pt idx="8">
                  <c:v>მინერალური წყლები</c:v>
                </c:pt>
                <c:pt idx="9">
                  <c:v>აზოტოვანი სასუქები</c:v>
                </c:pt>
                <c:pt idx="10">
                  <c:v>დანარჩენი საქონელი</c:v>
                </c:pt>
              </c:strCache>
            </c:strRef>
          </c:cat>
          <c:val>
            <c:numRef>
              <c:f>'g-EX'!$B$2:$B$12</c:f>
              <c:numCache>
                <c:formatCode>#,##0.0</c:formatCode>
                <c:ptCount val="11"/>
                <c:pt idx="0">
                  <c:v>14.752743318076694</c:v>
                </c:pt>
                <c:pt idx="1">
                  <c:v>8.4674329380200568</c:v>
                </c:pt>
                <c:pt idx="2">
                  <c:v>8.0112010075028639</c:v>
                </c:pt>
                <c:pt idx="3">
                  <c:v>7.88668308946139</c:v>
                </c:pt>
                <c:pt idx="4">
                  <c:v>5.3717471666783823</c:v>
                </c:pt>
                <c:pt idx="5">
                  <c:v>5.0842792528975362</c:v>
                </c:pt>
                <c:pt idx="6">
                  <c:v>4.3470779577143235</c:v>
                </c:pt>
                <c:pt idx="7">
                  <c:v>3.8376057690470597</c:v>
                </c:pt>
                <c:pt idx="8">
                  <c:v>3.7776824291569109</c:v>
                </c:pt>
                <c:pt idx="9">
                  <c:v>3.1071544616836992</c:v>
                </c:pt>
                <c:pt idx="10">
                  <c:v>35.356392609761144</c:v>
                </c:pt>
              </c:numCache>
            </c:numRef>
          </c:val>
        </c:ser>
        <c:dLbls>
          <c:showCatName val="1"/>
          <c:showPercent val="1"/>
        </c:dLbls>
        <c:firstSliceAng val="0"/>
      </c:pieChart>
    </c:plotArea>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sz="1000"/>
            </a:pPr>
            <a:r>
              <a:rPr lang="ka-GE" sz="1000" b="1" i="0" baseline="0"/>
              <a:t>უმსხვილესი  საიმპორტო  საქონლის  ათეული  </a:t>
            </a:r>
            <a:r>
              <a:rPr lang="ka-GE" sz="1000" b="1" i="0" u="none" strike="noStrike" baseline="0"/>
              <a:t>201</a:t>
            </a:r>
            <a:r>
              <a:rPr lang="en-US" sz="1000" b="1" i="0" u="none" strike="noStrike" baseline="0"/>
              <a:t>6*</a:t>
            </a:r>
            <a:r>
              <a:rPr lang="ka-GE" sz="1000" b="1" i="0" u="none" strike="noStrike" baseline="0"/>
              <a:t> წელს (%)  </a:t>
            </a:r>
            <a:r>
              <a:rPr lang="en-US" sz="1000" b="1" i="0" u="none" strike="noStrike" baseline="0"/>
              <a:t> </a:t>
            </a:r>
            <a:r>
              <a:rPr lang="ka-GE" sz="1000" b="1" i="0" u="none" strike="noStrike" baseline="0"/>
              <a:t>  </a:t>
            </a:r>
            <a:r>
              <a:rPr lang="en-US" sz="1000" b="1" i="0" u="none" strike="noStrike" baseline="0"/>
              <a:t> </a:t>
            </a:r>
            <a:r>
              <a:rPr lang="ka-GE" sz="1000" b="1" i="0" u="none" strike="noStrike" baseline="0"/>
              <a:t> </a:t>
            </a:r>
            <a:endParaRPr lang="en-US" sz="1000"/>
          </a:p>
        </c:rich>
      </c:tx>
      <c:layout>
        <c:manualLayout>
          <c:xMode val="edge"/>
          <c:yMode val="edge"/>
          <c:x val="0.18940363574885941"/>
          <c:y val="0"/>
        </c:manualLayout>
      </c:layout>
    </c:title>
    <c:plotArea>
      <c:layout>
        <c:manualLayout>
          <c:layoutTarget val="inner"/>
          <c:xMode val="edge"/>
          <c:yMode val="edge"/>
          <c:x val="0.22135860421293488"/>
          <c:y val="0.10347643166814192"/>
          <c:w val="0.51531503192883743"/>
          <c:h val="0.85831391048969663"/>
        </c:manualLayout>
      </c:layout>
      <c:pieChart>
        <c:varyColors val="1"/>
        <c:ser>
          <c:idx val="0"/>
          <c:order val="0"/>
          <c:dLbls>
            <c:dLbl>
              <c:idx val="0"/>
              <c:layout>
                <c:manualLayout>
                  <c:x val="5.0056516917523226E-2"/>
                  <c:y val="6.2095960798743514E-2"/>
                </c:manualLayout>
              </c:layout>
              <c:showVal val="1"/>
              <c:showCatName val="1"/>
              <c:separator>
</c:separator>
            </c:dLbl>
            <c:dLbl>
              <c:idx val="1"/>
              <c:layout>
                <c:manualLayout>
                  <c:x val="3.6476430229967452E-2"/>
                  <c:y val="5.9941085058708335E-2"/>
                </c:manualLayout>
              </c:layout>
              <c:showVal val="1"/>
              <c:showCatName val="1"/>
              <c:separator>
</c:separator>
            </c:dLbl>
            <c:dLbl>
              <c:idx val="2"/>
              <c:layout>
                <c:manualLayout>
                  <c:x val="8.8266635409789296E-2"/>
                  <c:y val="-7.5530566836478292E-3"/>
                </c:manualLayout>
              </c:layout>
              <c:showVal val="1"/>
              <c:showCatName val="1"/>
              <c:separator>
</c:separator>
            </c:dLbl>
            <c:dLbl>
              <c:idx val="3"/>
              <c:layout>
                <c:manualLayout>
                  <c:x val="3.0960335085457296E-2"/>
                  <c:y val="-2.9160697620738731E-2"/>
                </c:manualLayout>
              </c:layout>
              <c:showVal val="1"/>
              <c:showCatName val="1"/>
              <c:separator>
</c:separator>
            </c:dLbl>
            <c:dLbl>
              <c:idx val="4"/>
              <c:layout>
                <c:manualLayout>
                  <c:x val="4.3471832515092367E-2"/>
                  <c:y val="-6.0690868759849907E-2"/>
                </c:manualLayout>
              </c:layout>
              <c:showVal val="1"/>
              <c:showCatName val="1"/>
              <c:separator>
</c:separator>
            </c:dLbl>
            <c:dLbl>
              <c:idx val="5"/>
              <c:layout>
                <c:manualLayout>
                  <c:x val="8.0693965526723282E-2"/>
                  <c:y val="-4.4800688387800193E-2"/>
                </c:manualLayout>
              </c:layout>
              <c:showVal val="1"/>
              <c:showCatName val="1"/>
              <c:separator>
</c:separator>
            </c:dLbl>
            <c:dLbl>
              <c:idx val="6"/>
              <c:layout>
                <c:manualLayout>
                  <c:x val="1.831669774023461E-2"/>
                  <c:y val="-8.6684417217860205E-3"/>
                </c:manualLayout>
              </c:layout>
              <c:showVal val="1"/>
              <c:showCatName val="1"/>
              <c:separator>
</c:separator>
            </c:dLbl>
            <c:dLbl>
              <c:idx val="7"/>
              <c:layout>
                <c:manualLayout>
                  <c:x val="3.2232083571504783E-2"/>
                  <c:y val="6.4779479846389904E-2"/>
                </c:manualLayout>
              </c:layout>
              <c:showVal val="1"/>
              <c:showCatName val="1"/>
              <c:separator>
</c:separator>
            </c:dLbl>
            <c:dLbl>
              <c:idx val="8"/>
              <c:layout>
                <c:manualLayout>
                  <c:x val="2.9544976750602487E-2"/>
                  <c:y val="0.10927946963991016"/>
                </c:manualLayout>
              </c:layout>
              <c:showVal val="1"/>
              <c:showCatName val="1"/>
              <c:separator>
</c:separator>
            </c:dLbl>
            <c:dLbl>
              <c:idx val="9"/>
              <c:layout>
                <c:manualLayout>
                  <c:x val="-9.5057935732550267E-2"/>
                  <c:y val="0.11593252417758022"/>
                </c:manualLayout>
              </c:layout>
              <c:showVal val="1"/>
              <c:showCatName val="1"/>
              <c:separator>
</c:separator>
            </c:dLbl>
            <c:dLbl>
              <c:idx val="10"/>
              <c:layout>
                <c:manualLayout>
                  <c:x val="0.2176215569381626"/>
                  <c:y val="-0.40528360666634911"/>
                </c:manualLayout>
              </c:layout>
              <c:dLblPos val="bestFit"/>
              <c:showVal val="1"/>
              <c:showCatName val="1"/>
              <c:separator>
</c:separator>
            </c:dLbl>
            <c:txPr>
              <a:bodyPr/>
              <a:lstStyle/>
              <a:p>
                <a:pPr>
                  <a:defRPr lang="ru-RU" sz="900">
                    <a:latin typeface="Arial" pitchFamily="34" charset="0"/>
                    <a:cs typeface="Arial" pitchFamily="34" charset="0"/>
                  </a:defRPr>
                </a:pPr>
                <a:endParaRPr lang="en-US"/>
              </a:p>
            </c:txPr>
            <c:showVal val="1"/>
            <c:showCatName val="1"/>
            <c:separator>
</c:separator>
            <c:showLeaderLines val="1"/>
          </c:dLbls>
          <c:cat>
            <c:strRef>
              <c:f>'g-IM'!$A$2:$A$12</c:f>
              <c:strCache>
                <c:ptCount val="11"/>
                <c:pt idx="0">
                  <c:v>ნავთობპროდუქტები</c:v>
                </c:pt>
                <c:pt idx="1">
                  <c:v>მსუბუქი ავტომობილები</c:v>
                </c:pt>
                <c:pt idx="2">
                  <c:v>სამკურნალო საშუალებები</c:v>
                </c:pt>
                <c:pt idx="3">
                  <c:v>ნავთობის აირები </c:v>
                </c:pt>
                <c:pt idx="4">
                  <c:v>სპილენძის მადნები </c:v>
                </c:pt>
                <c:pt idx="5">
                  <c:v>სატელეფონო აპარატები</c:v>
                </c:pt>
                <c:pt idx="6">
                  <c:v>სიგარეტები</c:v>
                </c:pt>
                <c:pt idx="7">
                  <c:v>მეტალოკონსტრუქციები</c:v>
                </c:pt>
                <c:pt idx="8">
                  <c:v>ხორბალი</c:v>
                </c:pt>
                <c:pt idx="9">
                  <c:v>სატვირთო ავტომობილები</c:v>
                </c:pt>
                <c:pt idx="10">
                  <c:v>დანარჩენი საქონელი</c:v>
                </c:pt>
              </c:strCache>
            </c:strRef>
          </c:cat>
          <c:val>
            <c:numRef>
              <c:f>'g-IM'!$B$2:$B$12</c:f>
              <c:numCache>
                <c:formatCode>0.0</c:formatCode>
                <c:ptCount val="11"/>
                <c:pt idx="0">
                  <c:v>8.4908715195735809</c:v>
                </c:pt>
                <c:pt idx="1">
                  <c:v>6.5455920960614336</c:v>
                </c:pt>
                <c:pt idx="2">
                  <c:v>4.4696901665895501</c:v>
                </c:pt>
                <c:pt idx="3">
                  <c:v>4.3180076197680268</c:v>
                </c:pt>
                <c:pt idx="4">
                  <c:v>3.4104513311563598</c:v>
                </c:pt>
                <c:pt idx="5">
                  <c:v>2.4201602936058637</c:v>
                </c:pt>
                <c:pt idx="6">
                  <c:v>1.3979199248043261</c:v>
                </c:pt>
                <c:pt idx="7">
                  <c:v>1.3339968339899371</c:v>
                </c:pt>
                <c:pt idx="8">
                  <c:v>1.1808129249072388</c:v>
                </c:pt>
                <c:pt idx="9">
                  <c:v>0.95287907568425323</c:v>
                </c:pt>
                <c:pt idx="10">
                  <c:v>65.479618213859169</c:v>
                </c:pt>
              </c:numCache>
            </c:numRef>
          </c:val>
        </c:ser>
        <c:dLbls>
          <c:showCatName val="1"/>
          <c:showPercent val="1"/>
        </c:dLbls>
        <c:firstSliceAng val="0"/>
      </c:pieChart>
    </c:plotArea>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AcadNusx"/>
                <a:ea typeface="AcadNusx"/>
                <a:cs typeface="AcadNusx"/>
              </a:defRPr>
            </a:pPr>
            <a:r>
              <a:rPr lang="ka-GE"/>
              <a:t>ათი</a:t>
            </a:r>
            <a:r>
              <a:rPr lang="ka-GE" baseline="0"/>
              <a:t> უმსხვილესი საექსპორტო ქვეყანა </a:t>
            </a:r>
            <a:r>
              <a:rPr lang="ka-GE" sz="1000" b="1" i="0" u="none" strike="noStrike" baseline="0"/>
              <a:t>20</a:t>
            </a:r>
            <a:r>
              <a:rPr lang="en-US" sz="1000" b="1" i="0" u="none" strike="noStrike" baseline="0"/>
              <a:t>1</a:t>
            </a:r>
            <a:r>
              <a:rPr lang="ka-GE" sz="1000" b="1" i="0" u="none" strike="noStrike" baseline="0"/>
              <a:t>5-2016 წლებში</a:t>
            </a:r>
            <a:endParaRPr lang="ka-GE" baseline="0">
              <a:cs typeface="Arial" pitchFamily="34" charset="0"/>
            </a:endParaRPr>
          </a:p>
          <a:p>
            <a:pPr>
              <a:defRPr lang="en-US" sz="1000" b="1" i="0" u="none" strike="noStrike" baseline="0">
                <a:solidFill>
                  <a:srgbClr val="000000"/>
                </a:solidFill>
                <a:latin typeface="AcadNusx"/>
                <a:ea typeface="AcadNusx"/>
                <a:cs typeface="AcadNusx"/>
              </a:defRPr>
            </a:pPr>
            <a:r>
              <a:rPr lang="ka-GE" baseline="0"/>
              <a:t>(მლნ. აშშ დოლარი) </a:t>
            </a:r>
            <a:endParaRPr lang="en-US"/>
          </a:p>
        </c:rich>
      </c:tx>
      <c:layout>
        <c:manualLayout>
          <c:xMode val="edge"/>
          <c:yMode val="edge"/>
          <c:x val="0.2186507713388072"/>
          <c:y val="1.4816104324464037E-3"/>
        </c:manualLayout>
      </c:layout>
      <c:spPr>
        <a:noFill/>
        <a:ln w="25400">
          <a:noFill/>
        </a:ln>
      </c:spPr>
    </c:title>
    <c:plotArea>
      <c:layout>
        <c:manualLayout>
          <c:layoutTarget val="inner"/>
          <c:xMode val="edge"/>
          <c:yMode val="edge"/>
          <c:x val="6.1743553242285393E-2"/>
          <c:y val="0.13826849807547112"/>
          <c:w val="0.93825644675771458"/>
          <c:h val="0.56559149581642998"/>
        </c:manualLayout>
      </c:layout>
      <c:barChart>
        <c:barDir val="col"/>
        <c:grouping val="clustered"/>
        <c:ser>
          <c:idx val="0"/>
          <c:order val="0"/>
          <c:tx>
            <c:strRef>
              <c:f>'ex-c'!$B$6</c:f>
              <c:strCache>
                <c:ptCount val="1"/>
                <c:pt idx="0">
                  <c:v>2015</c:v>
                </c:pt>
              </c:strCache>
            </c:strRef>
          </c:tx>
          <c:spPr>
            <a:solidFill>
              <a:srgbClr val="800000"/>
            </a:solidFill>
            <a:ln w="25400">
              <a:noFill/>
            </a:ln>
          </c:spPr>
          <c:cat>
            <c:strRef>
              <c:f>'ex-c'!$A$7:$A$16</c:f>
              <c:strCache>
                <c:ptCount val="10"/>
                <c:pt idx="0">
                  <c:v>რუსეთი</c:v>
                </c:pt>
                <c:pt idx="1">
                  <c:v>თურქეთი</c:v>
                </c:pt>
                <c:pt idx="2">
                  <c:v>ჩინეთი</c:v>
                </c:pt>
                <c:pt idx="3">
                  <c:v>ბულგარეთი</c:v>
                </c:pt>
                <c:pt idx="4">
                  <c:v>აზერბაიჯანი</c:v>
                </c:pt>
                <c:pt idx="5">
                  <c:v>სომხეთი</c:v>
                </c:pt>
                <c:pt idx="6">
                  <c:v>გერმანია</c:v>
                </c:pt>
                <c:pt idx="7">
                  <c:v>შვეიცარია</c:v>
                </c:pt>
                <c:pt idx="8">
                  <c:v>უკრაინა</c:v>
                </c:pt>
                <c:pt idx="9">
                  <c:v>იტალია</c:v>
                </c:pt>
              </c:strCache>
            </c:strRef>
          </c:cat>
          <c:val>
            <c:numRef>
              <c:f>'ex-c'!$B$7:$B$16</c:f>
              <c:numCache>
                <c:formatCode>#,##0</c:formatCode>
                <c:ptCount val="10"/>
                <c:pt idx="0">
                  <c:v>162.889425736097</c:v>
                </c:pt>
                <c:pt idx="1">
                  <c:v>186.76964220662779</c:v>
                </c:pt>
                <c:pt idx="2">
                  <c:v>125.80020130297594</c:v>
                </c:pt>
                <c:pt idx="3">
                  <c:v>214.24711229177362</c:v>
                </c:pt>
                <c:pt idx="4">
                  <c:v>240.95148276595205</c:v>
                </c:pt>
                <c:pt idx="5">
                  <c:v>180.15421205203131</c:v>
                </c:pt>
                <c:pt idx="6">
                  <c:v>75.811325016463172</c:v>
                </c:pt>
                <c:pt idx="7">
                  <c:v>30.848224315764586</c:v>
                </c:pt>
                <c:pt idx="8">
                  <c:v>59.873579754958406</c:v>
                </c:pt>
                <c:pt idx="9">
                  <c:v>74.605621827286299</c:v>
                </c:pt>
              </c:numCache>
            </c:numRef>
          </c:val>
        </c:ser>
        <c:ser>
          <c:idx val="1"/>
          <c:order val="1"/>
          <c:tx>
            <c:strRef>
              <c:f>'ex-c'!$C$6</c:f>
              <c:strCache>
                <c:ptCount val="1"/>
                <c:pt idx="0">
                  <c:v>2016*</c:v>
                </c:pt>
              </c:strCache>
            </c:strRef>
          </c:tx>
          <c:spPr>
            <a:solidFill>
              <a:srgbClr val="FF0000"/>
            </a:solidFill>
            <a:ln w="25400">
              <a:noFill/>
            </a:ln>
          </c:spPr>
          <c:cat>
            <c:strRef>
              <c:f>'ex-c'!$A$7:$A$16</c:f>
              <c:strCache>
                <c:ptCount val="10"/>
                <c:pt idx="0">
                  <c:v>რუსეთი</c:v>
                </c:pt>
                <c:pt idx="1">
                  <c:v>თურქეთი</c:v>
                </c:pt>
                <c:pt idx="2">
                  <c:v>ჩინეთი</c:v>
                </c:pt>
                <c:pt idx="3">
                  <c:v>ბულგარეთი</c:v>
                </c:pt>
                <c:pt idx="4">
                  <c:v>აზერბაიჯანი</c:v>
                </c:pt>
                <c:pt idx="5">
                  <c:v>სომხეთი</c:v>
                </c:pt>
                <c:pt idx="6">
                  <c:v>გერმანია</c:v>
                </c:pt>
                <c:pt idx="7">
                  <c:v>შვეიცარია</c:v>
                </c:pt>
                <c:pt idx="8">
                  <c:v>უკრაინა</c:v>
                </c:pt>
                <c:pt idx="9">
                  <c:v>იტალია</c:v>
                </c:pt>
              </c:strCache>
            </c:strRef>
          </c:cat>
          <c:val>
            <c:numRef>
              <c:f>'ex-c'!$C$7:$C$16</c:f>
              <c:numCache>
                <c:formatCode>#,##0</c:formatCode>
                <c:ptCount val="10"/>
                <c:pt idx="0">
                  <c:v>206.22530909687399</c:v>
                </c:pt>
                <c:pt idx="1">
                  <c:v>173.58600996705727</c:v>
                </c:pt>
                <c:pt idx="2">
                  <c:v>169.58685484723046</c:v>
                </c:pt>
                <c:pt idx="3">
                  <c:v>167.15933564045238</c:v>
                </c:pt>
                <c:pt idx="4">
                  <c:v>152.55907871574036</c:v>
                </c:pt>
                <c:pt idx="5">
                  <c:v>150.6434948707697</c:v>
                </c:pt>
                <c:pt idx="6">
                  <c:v>85.313532788321353</c:v>
                </c:pt>
                <c:pt idx="7">
                  <c:v>81.768314803805978</c:v>
                </c:pt>
                <c:pt idx="8">
                  <c:v>73.254226000158965</c:v>
                </c:pt>
                <c:pt idx="9">
                  <c:v>72.470968404105164</c:v>
                </c:pt>
              </c:numCache>
            </c:numRef>
          </c:val>
        </c:ser>
        <c:axId val="126329984"/>
        <c:axId val="126331520"/>
      </c:barChart>
      <c:catAx>
        <c:axId val="126329984"/>
        <c:scaling>
          <c:orientation val="minMax"/>
        </c:scaling>
        <c:axPos val="b"/>
        <c:numFmt formatCode="General" sourceLinked="1"/>
        <c:tickLblPos val="nextTo"/>
        <c:spPr>
          <a:ln w="3175">
            <a:solidFill>
              <a:srgbClr val="000000"/>
            </a:solidFill>
            <a:prstDash val="solid"/>
          </a:ln>
        </c:spPr>
        <c:txPr>
          <a:bodyPr rot="-2700000" vert="horz"/>
          <a:lstStyle/>
          <a:p>
            <a:pPr>
              <a:defRPr lang="en-US" sz="1000" b="0" i="0" u="none" strike="noStrike" baseline="0">
                <a:solidFill>
                  <a:srgbClr val="000000"/>
                </a:solidFill>
                <a:latin typeface="AcadNusx"/>
                <a:ea typeface="AcadNusx"/>
                <a:cs typeface="AcadNusx"/>
              </a:defRPr>
            </a:pPr>
            <a:endParaRPr lang="en-US"/>
          </a:p>
        </c:txPr>
        <c:crossAx val="126331520"/>
        <c:crosses val="autoZero"/>
        <c:lblAlgn val="ctr"/>
        <c:lblOffset val="100"/>
        <c:tickLblSkip val="1"/>
        <c:tickMarkSkip val="1"/>
      </c:catAx>
      <c:valAx>
        <c:axId val="126331520"/>
        <c:scaling>
          <c:orientation val="minMax"/>
          <c:max val="300"/>
          <c:min val="0"/>
        </c:scaling>
        <c:axPos val="l"/>
        <c:numFmt formatCode="#,##0" sourceLinked="1"/>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126329984"/>
        <c:crosses val="autoZero"/>
        <c:crossBetween val="between"/>
        <c:majorUnit val="50"/>
        <c:minorUnit val="4"/>
      </c:valAx>
      <c:spPr>
        <a:noFill/>
        <a:ln w="25400">
          <a:noFill/>
        </a:ln>
      </c:spPr>
    </c:plotArea>
    <c:legend>
      <c:legendPos val="r"/>
      <c:layout>
        <c:manualLayout>
          <c:xMode val="edge"/>
          <c:yMode val="edge"/>
          <c:x val="0"/>
          <c:y val="0.94367954005750065"/>
          <c:w val="0.99793873293562196"/>
          <c:h val="5.6320459942507194E-2"/>
        </c:manualLayout>
      </c:layout>
      <c:spPr>
        <a:solidFill>
          <a:srgbClr val="FFFFFF"/>
        </a:solidFill>
        <a:ln w="25400">
          <a:noFill/>
        </a:ln>
      </c:spPr>
      <c:txPr>
        <a:bodyPr/>
        <a:lstStyle/>
        <a:p>
          <a:pPr>
            <a:defRPr lang="en-US" sz="100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9525">
      <a:noFill/>
    </a:ln>
  </c:spPr>
  <c:txPr>
    <a:bodyPr/>
    <a:lstStyle/>
    <a:p>
      <a:pPr>
        <a:defRPr sz="925" b="0"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AcadNusx"/>
                <a:ea typeface="AcadNusx"/>
                <a:cs typeface="AcadNusx"/>
              </a:defRPr>
            </a:pPr>
            <a:r>
              <a:rPr lang="ka-GE" baseline="0"/>
              <a:t>ათი უმსხვილესი საიმპორტო ქვეყანა </a:t>
            </a:r>
            <a:r>
              <a:rPr lang="ka-GE" sz="1000" b="1" i="0" u="none" strike="noStrike" baseline="0"/>
              <a:t>20</a:t>
            </a:r>
            <a:r>
              <a:rPr lang="en-US" sz="1000" b="1" i="0" u="none" strike="noStrike" baseline="0"/>
              <a:t>1</a:t>
            </a:r>
            <a:r>
              <a:rPr lang="ka-GE" sz="1000" b="1" i="0" u="none" strike="noStrike" baseline="0"/>
              <a:t>5-2016 წწ. წლებში     </a:t>
            </a:r>
            <a:r>
              <a:rPr lang="en-US" sz="1000" b="1" i="0" u="none" strike="noStrike" baseline="0"/>
              <a:t>                      </a:t>
            </a:r>
            <a:r>
              <a:rPr lang="ka-GE" sz="1000" b="1" i="0" u="none" strike="noStrike" baseline="0"/>
              <a:t>                                       </a:t>
            </a:r>
            <a:endParaRPr lang="ka-GE" baseline="0"/>
          </a:p>
          <a:p>
            <a:pPr>
              <a:defRPr lang="en-US" sz="1000" b="1" i="0" u="none" strike="noStrike" baseline="0">
                <a:solidFill>
                  <a:srgbClr val="000000"/>
                </a:solidFill>
                <a:latin typeface="AcadNusx"/>
                <a:ea typeface="AcadNusx"/>
                <a:cs typeface="AcadNusx"/>
              </a:defRPr>
            </a:pPr>
            <a:r>
              <a:rPr lang="ka-GE" baseline="0"/>
              <a:t>(მლნ. აშშ დოლარი)</a:t>
            </a:r>
          </a:p>
          <a:p>
            <a:pPr>
              <a:defRPr lang="en-US" sz="1000" b="1" i="0" u="none" strike="noStrike" baseline="0">
                <a:solidFill>
                  <a:srgbClr val="000000"/>
                </a:solidFill>
                <a:latin typeface="AcadNusx"/>
                <a:ea typeface="AcadNusx"/>
                <a:cs typeface="AcadNusx"/>
              </a:defRPr>
            </a:pPr>
            <a:r>
              <a:rPr lang="en-US" baseline="0"/>
              <a:t> </a:t>
            </a:r>
          </a:p>
        </c:rich>
      </c:tx>
      <c:layout>
        <c:manualLayout>
          <c:xMode val="edge"/>
          <c:yMode val="edge"/>
          <c:x val="0.26703785039233424"/>
          <c:y val="0"/>
        </c:manualLayout>
      </c:layout>
      <c:spPr>
        <a:noFill/>
        <a:ln w="25400">
          <a:noFill/>
        </a:ln>
      </c:spPr>
    </c:title>
    <c:plotArea>
      <c:layout>
        <c:manualLayout>
          <c:layoutTarget val="inner"/>
          <c:xMode val="edge"/>
          <c:yMode val="edge"/>
          <c:x val="5.5228659635503975E-2"/>
          <c:y val="9.6461403862978634E-2"/>
          <c:w val="0.94477134036451693"/>
          <c:h val="0.51763749364593015"/>
        </c:manualLayout>
      </c:layout>
      <c:barChart>
        <c:barDir val="col"/>
        <c:grouping val="clustered"/>
        <c:ser>
          <c:idx val="0"/>
          <c:order val="0"/>
          <c:tx>
            <c:strRef>
              <c:f>'im-c-1'!$B$1</c:f>
              <c:strCache>
                <c:ptCount val="1"/>
                <c:pt idx="0">
                  <c:v>2015</c:v>
                </c:pt>
              </c:strCache>
            </c:strRef>
          </c:tx>
          <c:spPr>
            <a:solidFill>
              <a:srgbClr val="3366FF"/>
            </a:solidFill>
            <a:ln w="25400">
              <a:noFill/>
            </a:ln>
          </c:spPr>
          <c:cat>
            <c:strRef>
              <c:f>'im-c-1'!$A$2:$A$11</c:f>
              <c:strCache>
                <c:ptCount val="10"/>
                <c:pt idx="0">
                  <c:v>თურქეთი</c:v>
                </c:pt>
                <c:pt idx="1">
                  <c:v>რუსეთი</c:v>
                </c:pt>
                <c:pt idx="2">
                  <c:v>ჩინეთი</c:v>
                </c:pt>
                <c:pt idx="3">
                  <c:v>აზერბაიჯანი</c:v>
                </c:pt>
                <c:pt idx="4">
                  <c:v>გერმანია</c:v>
                </c:pt>
                <c:pt idx="5">
                  <c:v>უკრაინა</c:v>
                </c:pt>
                <c:pt idx="6">
                  <c:v>იტალია</c:v>
                </c:pt>
                <c:pt idx="7">
                  <c:v>ნიდერლანდები</c:v>
                </c:pt>
                <c:pt idx="8">
                  <c:v>სომხეთი</c:v>
                </c:pt>
                <c:pt idx="9">
                  <c:v>აშშ</c:v>
                </c:pt>
              </c:strCache>
            </c:strRef>
          </c:cat>
          <c:val>
            <c:numRef>
              <c:f>'im-c-1'!$B$2:$B$11</c:f>
              <c:numCache>
                <c:formatCode>#,##0</c:formatCode>
                <c:ptCount val="10"/>
                <c:pt idx="0">
                  <c:v>1327.4119202816207</c:v>
                </c:pt>
                <c:pt idx="1">
                  <c:v>625.12229592105177</c:v>
                </c:pt>
                <c:pt idx="2">
                  <c:v>587.37879674052351</c:v>
                </c:pt>
                <c:pt idx="3">
                  <c:v>538.78938592461975</c:v>
                </c:pt>
                <c:pt idx="4">
                  <c:v>430.96767658963847</c:v>
                </c:pt>
                <c:pt idx="5">
                  <c:v>455.5714866839844</c:v>
                </c:pt>
                <c:pt idx="6">
                  <c:v>197.65897644952599</c:v>
                </c:pt>
                <c:pt idx="7">
                  <c:v>128.24831707924832</c:v>
                </c:pt>
                <c:pt idx="8">
                  <c:v>175.05498729924318</c:v>
                </c:pt>
                <c:pt idx="9">
                  <c:v>252.9740500814863</c:v>
                </c:pt>
              </c:numCache>
            </c:numRef>
          </c:val>
        </c:ser>
        <c:ser>
          <c:idx val="1"/>
          <c:order val="1"/>
          <c:tx>
            <c:strRef>
              <c:f>'im-c-1'!$C$1</c:f>
              <c:strCache>
                <c:ptCount val="1"/>
                <c:pt idx="0">
                  <c:v>2016*</c:v>
                </c:pt>
              </c:strCache>
            </c:strRef>
          </c:tx>
          <c:spPr>
            <a:solidFill>
              <a:srgbClr val="000080"/>
            </a:solidFill>
            <a:ln w="25400">
              <a:noFill/>
            </a:ln>
          </c:spPr>
          <c:cat>
            <c:strRef>
              <c:f>'im-c-1'!$A$2:$A$11</c:f>
              <c:strCache>
                <c:ptCount val="10"/>
                <c:pt idx="0">
                  <c:v>თურქეთი</c:v>
                </c:pt>
                <c:pt idx="1">
                  <c:v>რუსეთი</c:v>
                </c:pt>
                <c:pt idx="2">
                  <c:v>ჩინეთი</c:v>
                </c:pt>
                <c:pt idx="3">
                  <c:v>აზერბაიჯანი</c:v>
                </c:pt>
                <c:pt idx="4">
                  <c:v>გერმანია</c:v>
                </c:pt>
                <c:pt idx="5">
                  <c:v>უკრაინა</c:v>
                </c:pt>
                <c:pt idx="6">
                  <c:v>იტალია</c:v>
                </c:pt>
                <c:pt idx="7">
                  <c:v>ნიდერლანდები</c:v>
                </c:pt>
                <c:pt idx="8">
                  <c:v>სომხეთი</c:v>
                </c:pt>
                <c:pt idx="9">
                  <c:v>აშშ</c:v>
                </c:pt>
              </c:strCache>
            </c:strRef>
          </c:cat>
          <c:val>
            <c:numRef>
              <c:f>'im-c-1'!$C$2:$C$11</c:f>
              <c:numCache>
                <c:formatCode>#,##0</c:formatCode>
                <c:ptCount val="10"/>
                <c:pt idx="0">
                  <c:v>1352.6461664957401</c:v>
                </c:pt>
                <c:pt idx="1">
                  <c:v>675.02258273665655</c:v>
                </c:pt>
                <c:pt idx="2">
                  <c:v>547.50316988587338</c:v>
                </c:pt>
                <c:pt idx="3">
                  <c:v>492.14210000793997</c:v>
                </c:pt>
                <c:pt idx="4">
                  <c:v>419.57067206170592</c:v>
                </c:pt>
                <c:pt idx="5">
                  <c:v>417.75821972748349</c:v>
                </c:pt>
                <c:pt idx="6">
                  <c:v>262.82646514512197</c:v>
                </c:pt>
                <c:pt idx="7">
                  <c:v>217.1652343818775</c:v>
                </c:pt>
                <c:pt idx="8">
                  <c:v>216.79013240514072</c:v>
                </c:pt>
                <c:pt idx="9">
                  <c:v>213.76354189091154</c:v>
                </c:pt>
              </c:numCache>
            </c:numRef>
          </c:val>
        </c:ser>
        <c:axId val="126372864"/>
        <c:axId val="126382848"/>
      </c:barChart>
      <c:catAx>
        <c:axId val="126372864"/>
        <c:scaling>
          <c:orientation val="minMax"/>
        </c:scaling>
        <c:axPos val="b"/>
        <c:numFmt formatCode="General" sourceLinked="1"/>
        <c:tickLblPos val="nextTo"/>
        <c:spPr>
          <a:ln w="3175">
            <a:solidFill>
              <a:srgbClr val="000000"/>
            </a:solidFill>
            <a:prstDash val="solid"/>
          </a:ln>
        </c:spPr>
        <c:txPr>
          <a:bodyPr rot="-2880000" vert="horz"/>
          <a:lstStyle/>
          <a:p>
            <a:pPr>
              <a:defRPr lang="en-US" sz="1000" b="0" i="0" u="none" strike="noStrike" baseline="0">
                <a:solidFill>
                  <a:srgbClr val="000000"/>
                </a:solidFill>
                <a:latin typeface="Arial" pitchFamily="34" charset="0"/>
                <a:ea typeface="AcadNusx"/>
                <a:cs typeface="Arial" pitchFamily="34" charset="0"/>
              </a:defRPr>
            </a:pPr>
            <a:endParaRPr lang="en-US"/>
          </a:p>
        </c:txPr>
        <c:crossAx val="126382848"/>
        <c:crossesAt val="0"/>
        <c:auto val="1"/>
        <c:lblAlgn val="ctr"/>
        <c:lblOffset val="100"/>
        <c:tickLblSkip val="1"/>
        <c:tickMarkSkip val="1"/>
      </c:catAx>
      <c:valAx>
        <c:axId val="126382848"/>
        <c:scaling>
          <c:orientation val="minMax"/>
          <c:max val="1500"/>
          <c:min val="0"/>
        </c:scaling>
        <c:axPos val="l"/>
        <c:numFmt formatCode="0" sourceLinked="0"/>
        <c:tickLblPos val="nextTo"/>
        <c:spPr>
          <a:ln w="3175">
            <a:solidFill>
              <a:srgbClr val="000000"/>
            </a:solidFill>
            <a:prstDash val="solid"/>
          </a:ln>
        </c:spPr>
        <c:txPr>
          <a:bodyPr rot="0" vert="horz"/>
          <a:lstStyle/>
          <a:p>
            <a:pPr>
              <a:defRPr lang="en-US" sz="1000" b="0" i="0" u="none" strike="noStrike" baseline="0">
                <a:solidFill>
                  <a:srgbClr val="000000"/>
                </a:solidFill>
                <a:latin typeface="Arial"/>
                <a:ea typeface="Arial"/>
                <a:cs typeface="Arial"/>
              </a:defRPr>
            </a:pPr>
            <a:endParaRPr lang="en-US"/>
          </a:p>
        </c:txPr>
        <c:crossAx val="126372864"/>
        <c:crosses val="autoZero"/>
        <c:crossBetween val="between"/>
        <c:majorUnit val="300"/>
        <c:minorUnit val="4"/>
      </c:valAx>
      <c:spPr>
        <a:noFill/>
        <a:ln w="25400">
          <a:noFill/>
        </a:ln>
      </c:spPr>
    </c:plotArea>
    <c:legend>
      <c:legendPos val="r"/>
      <c:layout>
        <c:manualLayout>
          <c:xMode val="edge"/>
          <c:yMode val="edge"/>
          <c:x val="0"/>
          <c:y val="0.91592294795139151"/>
          <c:w val="0.99910304812542849"/>
          <c:h val="8.0167438516475745E-2"/>
        </c:manualLayout>
      </c:layout>
      <c:spPr>
        <a:solidFill>
          <a:srgbClr val="FFFFFF"/>
        </a:solidFill>
        <a:ln w="25400">
          <a:noFill/>
        </a:ln>
      </c:spPr>
      <c:txPr>
        <a:bodyPr/>
        <a:lstStyle/>
        <a:p>
          <a:pPr>
            <a:defRPr lang="en-US" sz="1000" b="0" i="0" u="none" strike="noStrike" baseline="0">
              <a:solidFill>
                <a:srgbClr val="000000"/>
              </a:solidFill>
              <a:latin typeface="Arial"/>
              <a:ea typeface="Arial"/>
              <a:cs typeface="Arial"/>
            </a:defRPr>
          </a:pPr>
          <a:endParaRPr lang="en-US"/>
        </a:p>
      </c:txPr>
    </c:legend>
    <c:plotVisOnly val="1"/>
    <c:dispBlanksAs val="gap"/>
  </c:chart>
  <c:spPr>
    <a:no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ka-GE" sz="1050"/>
              <a:t>ბიზნეს სექტორის ბრუნვისა და პროდუქციის  გამოშვების მაჩვენებლები საწარმოთა ზომების მიხედვით, 2016 წლის </a:t>
            </a:r>
            <a:r>
              <a:rPr lang="en-US" sz="1050" baseline="0"/>
              <a:t> </a:t>
            </a:r>
            <a:r>
              <a:rPr lang="en-US" sz="1050"/>
              <a:t>IV</a:t>
            </a:r>
            <a:r>
              <a:rPr lang="en-US" sz="1050" baseline="0"/>
              <a:t> </a:t>
            </a:r>
            <a:r>
              <a:rPr lang="ka-GE" sz="1050"/>
              <a:t>კვარტალი </a:t>
            </a:r>
            <a:endParaRPr lang="en-US" sz="1050"/>
          </a:p>
        </c:rich>
      </c:tx>
      <c:layout>
        <c:manualLayout>
          <c:xMode val="edge"/>
          <c:yMode val="edge"/>
          <c:x val="0.13413605595951217"/>
          <c:y val="1.4184397163120564E-2"/>
        </c:manualLayout>
      </c:layout>
      <c:overlay val="1"/>
    </c:title>
    <c:plotArea>
      <c:layout>
        <c:manualLayout>
          <c:layoutTarget val="inner"/>
          <c:xMode val="edge"/>
          <c:yMode val="edge"/>
          <c:x val="0.13148704699991026"/>
          <c:y val="0.14567851147619351"/>
          <c:w val="0.84081812739914685"/>
          <c:h val="0.6465720109454407"/>
        </c:manualLayout>
      </c:layout>
      <c:barChart>
        <c:barDir val="col"/>
        <c:grouping val="clustered"/>
        <c:ser>
          <c:idx val="0"/>
          <c:order val="0"/>
          <c:tx>
            <c:strRef>
              <c:f>Sheet1!$A$2</c:f>
              <c:strCache>
                <c:ptCount val="1"/>
                <c:pt idx="0">
                  <c:v>brunva</c:v>
                </c:pt>
              </c:strCache>
            </c:strRef>
          </c:tx>
          <c:spPr>
            <a:solidFill>
              <a:srgbClr val="FF5050"/>
            </a:solidFill>
            <a:ln w="22138">
              <a:noFill/>
            </a:ln>
          </c:spPr>
          <c:cat>
            <c:strRef>
              <c:f>Sheet1!$B$1:$D$1</c:f>
              <c:strCache>
                <c:ptCount val="3"/>
                <c:pt idx="0">
                  <c:v>msxvili biznesi</c:v>
                </c:pt>
                <c:pt idx="1">
                  <c:v>saSualo biznesi</c:v>
                </c:pt>
                <c:pt idx="2">
                  <c:v>mcire biznesi</c:v>
                </c:pt>
              </c:strCache>
            </c:strRef>
          </c:cat>
          <c:val>
            <c:numRef>
              <c:f>Sheet1!$B$2:$D$2</c:f>
              <c:numCache>
                <c:formatCode>0.0</c:formatCode>
                <c:ptCount val="3"/>
                <c:pt idx="0">
                  <c:v>14098.197152363882</c:v>
                </c:pt>
                <c:pt idx="1">
                  <c:v>1630.1807882544092</c:v>
                </c:pt>
                <c:pt idx="2">
                  <c:v>1675.5762662724046</c:v>
                </c:pt>
              </c:numCache>
            </c:numRef>
          </c:val>
        </c:ser>
        <c:ser>
          <c:idx val="1"/>
          <c:order val="1"/>
          <c:tx>
            <c:strRef>
              <c:f>Sheet1!$A$3</c:f>
              <c:strCache>
                <c:ptCount val="1"/>
                <c:pt idx="0">
                  <c:v>produqciis gamoSveba</c:v>
                </c:pt>
              </c:strCache>
            </c:strRef>
          </c:tx>
          <c:spPr>
            <a:solidFill>
              <a:srgbClr val="C0C0C0"/>
            </a:solidFill>
            <a:ln w="22138">
              <a:noFill/>
            </a:ln>
          </c:spPr>
          <c:cat>
            <c:strRef>
              <c:f>Sheet1!$B$1:$D$1</c:f>
              <c:strCache>
                <c:ptCount val="3"/>
                <c:pt idx="0">
                  <c:v>msxvili biznesi</c:v>
                </c:pt>
                <c:pt idx="1">
                  <c:v>saSualo biznesi</c:v>
                </c:pt>
                <c:pt idx="2">
                  <c:v>mcire biznesi</c:v>
                </c:pt>
              </c:strCache>
            </c:strRef>
          </c:cat>
          <c:val>
            <c:numRef>
              <c:f>Sheet1!$B$3:$D$3</c:f>
              <c:numCache>
                <c:formatCode>0.0</c:formatCode>
                <c:ptCount val="3"/>
                <c:pt idx="0">
                  <c:v>6969.5502467630404</c:v>
                </c:pt>
                <c:pt idx="1">
                  <c:v>993.3401763490001</c:v>
                </c:pt>
                <c:pt idx="2">
                  <c:v>855.92882472600002</c:v>
                </c:pt>
              </c:numCache>
            </c:numRef>
          </c:val>
        </c:ser>
        <c:gapWidth val="300"/>
        <c:axId val="126395520"/>
        <c:axId val="126397056"/>
      </c:barChart>
      <c:catAx>
        <c:axId val="126395520"/>
        <c:scaling>
          <c:orientation val="minMax"/>
        </c:scaling>
        <c:axPos val="b"/>
        <c:numFmt formatCode="General" sourceLinked="1"/>
        <c:majorTickMark val="none"/>
        <c:tickLblPos val="nextTo"/>
        <c:spPr>
          <a:ln w="2768">
            <a:solidFill>
              <a:srgbClr val="808080"/>
            </a:solidFill>
            <a:prstDash val="solid"/>
          </a:ln>
        </c:spPr>
        <c:txPr>
          <a:bodyPr rot="0" vert="horz"/>
          <a:lstStyle/>
          <a:p>
            <a:pPr>
              <a:defRPr sz="1100" b="1" i="0" u="none" strike="noStrike" baseline="0">
                <a:solidFill>
                  <a:srgbClr val="000000"/>
                </a:solidFill>
                <a:latin typeface="LiterNusx"/>
                <a:ea typeface="LiterNusx"/>
                <a:cs typeface="LiterNusx"/>
              </a:defRPr>
            </a:pPr>
            <a:endParaRPr lang="en-US"/>
          </a:p>
        </c:txPr>
        <c:crossAx val="126397056"/>
        <c:crosses val="autoZero"/>
        <c:auto val="1"/>
        <c:lblAlgn val="ctr"/>
        <c:lblOffset val="100"/>
        <c:tickLblSkip val="1"/>
        <c:tickMarkSkip val="1"/>
      </c:catAx>
      <c:valAx>
        <c:axId val="126397056"/>
        <c:scaling>
          <c:orientation val="minMax"/>
          <c:max val="15000"/>
          <c:min val="0"/>
        </c:scaling>
        <c:axPos val="l"/>
        <c:majorGridlines>
          <c:spPr>
            <a:ln w="2768">
              <a:solidFill>
                <a:srgbClr val="808080"/>
              </a:solidFill>
              <a:prstDash val="solid"/>
            </a:ln>
          </c:spPr>
        </c:majorGridlines>
        <c:title>
          <c:tx>
            <c:rich>
              <a:bodyPr/>
              <a:lstStyle/>
              <a:p>
                <a:pPr>
                  <a:defRPr sz="1100" b="1" i="0" u="none" strike="noStrike" baseline="0">
                    <a:solidFill>
                      <a:srgbClr val="000000"/>
                    </a:solidFill>
                    <a:latin typeface="LiterNusx"/>
                    <a:ea typeface="LiterNusx"/>
                    <a:cs typeface="LiterNusx"/>
                  </a:defRPr>
                </a:pPr>
                <a:r>
                  <a:rPr lang="en-US" sz="1100"/>
                  <a:t>milioni lari</a:t>
                </a:r>
              </a:p>
            </c:rich>
          </c:tx>
          <c:layout>
            <c:manualLayout>
              <c:xMode val="edge"/>
              <c:yMode val="edge"/>
              <c:x val="5.4894389823495733E-3"/>
              <c:y val="0.31010565384511884"/>
            </c:manualLayout>
          </c:layout>
          <c:spPr>
            <a:noFill/>
            <a:ln w="22176">
              <a:noFill/>
            </a:ln>
          </c:spPr>
        </c:title>
        <c:numFmt formatCode="0.0" sourceLinked="1"/>
        <c:majorTickMark val="in"/>
        <c:tickLblPos val="nextTo"/>
        <c:spPr>
          <a:ln w="2768">
            <a:solidFill>
              <a:srgbClr val="808080"/>
            </a:solidFill>
            <a:prstDash val="solid"/>
          </a:ln>
        </c:spPr>
        <c:txPr>
          <a:bodyPr rot="0" vert="horz"/>
          <a:lstStyle/>
          <a:p>
            <a:pPr>
              <a:defRPr sz="873" b="0" i="1" u="none" strike="noStrike" baseline="0">
                <a:solidFill>
                  <a:srgbClr val="000000"/>
                </a:solidFill>
                <a:latin typeface="Times New Roman"/>
                <a:ea typeface="Times New Roman"/>
                <a:cs typeface="Times New Roman"/>
              </a:defRPr>
            </a:pPr>
            <a:endParaRPr lang="en-US"/>
          </a:p>
        </c:txPr>
        <c:crossAx val="126395520"/>
        <c:crosses val="autoZero"/>
        <c:crossBetween val="between"/>
        <c:majorUnit val="1000"/>
        <c:minorUnit val="200"/>
      </c:valAx>
    </c:plotArea>
    <c:legend>
      <c:legendPos val="r"/>
      <c:layout>
        <c:manualLayout>
          <c:xMode val="edge"/>
          <c:yMode val="edge"/>
          <c:x val="0.335025514155249"/>
          <c:y val="0.89924582565481115"/>
          <c:w val="0.41030195381883638"/>
          <c:h val="5.8201058201058045E-2"/>
        </c:manualLayout>
      </c:layout>
      <c:spPr>
        <a:noFill/>
        <a:ln w="11070">
          <a:solidFill>
            <a:srgbClr val="FFFFFF"/>
          </a:solidFill>
          <a:prstDash val="solid"/>
        </a:ln>
      </c:spPr>
      <c:txPr>
        <a:bodyPr/>
        <a:lstStyle/>
        <a:p>
          <a:pPr>
            <a:defRPr sz="1100" b="0" i="0" u="none" strike="noStrike" baseline="0">
              <a:solidFill>
                <a:srgbClr val="000000"/>
              </a:solidFill>
              <a:latin typeface="LiterNusx"/>
              <a:ea typeface="LiterNusx"/>
              <a:cs typeface="LiterNusx"/>
            </a:defRPr>
          </a:pPr>
          <a:endParaRPr lang="en-US"/>
        </a:p>
      </c:txPr>
    </c:legend>
    <c:plotVisOnly val="1"/>
    <c:dispBlanksAs val="gap"/>
  </c:chart>
  <c:spPr>
    <a:solidFill>
      <a:srgbClr val="FFFFFF"/>
    </a:solidFill>
    <a:ln>
      <a:noFill/>
    </a:ln>
  </c:spPr>
  <c:txPr>
    <a:bodyPr/>
    <a:lstStyle/>
    <a:p>
      <a:pPr>
        <a:defRPr sz="1480" b="1" i="0" u="none" strike="noStrike" baseline="0">
          <a:solidFill>
            <a:srgbClr val="000000"/>
          </a:solidFill>
          <a:latin typeface="Arial"/>
          <a:ea typeface="Arial"/>
          <a:cs typeface="Arial"/>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ka-GE" sz="1000"/>
              <a:t>მთლიანი შიდა პროდუქტის დარგობრივი სტრუქტურა 201</a:t>
            </a:r>
            <a:r>
              <a:rPr lang="en-US" sz="1000"/>
              <a:t>6</a:t>
            </a:r>
            <a:r>
              <a:rPr lang="ka-GE" sz="1000"/>
              <a:t>* წელს </a:t>
            </a:r>
            <a:endParaRPr lang="en-US" sz="1000"/>
          </a:p>
        </c:rich>
      </c:tx>
    </c:title>
    <c:plotArea>
      <c:layout>
        <c:manualLayout>
          <c:layoutTarget val="inner"/>
          <c:xMode val="edge"/>
          <c:yMode val="edge"/>
          <c:x val="0.20808495055542353"/>
          <c:y val="0.11405118657187149"/>
          <c:w val="0.58383009888915349"/>
          <c:h val="0.76138669681581983"/>
        </c:manualLayout>
      </c:layout>
      <c:pieChart>
        <c:varyColors val="1"/>
        <c:ser>
          <c:idx val="0"/>
          <c:order val="0"/>
          <c:explosion val="1"/>
          <c:dLbls>
            <c:dLbl>
              <c:idx val="0"/>
              <c:layout>
                <c:manualLayout>
                  <c:x val="5.3107846488931555E-2"/>
                  <c:y val="1.7172781397491406E-2"/>
                </c:manualLayout>
              </c:layout>
              <c:tx>
                <c:rich>
                  <a:bodyPr/>
                  <a:lstStyle/>
                  <a:p>
                    <a:r>
                      <a:rPr lang="ka-GE"/>
                      <a:t>მრეწველობა
17,1%</a:t>
                    </a:r>
                  </a:p>
                </c:rich>
              </c:tx>
              <c:showCatName val="1"/>
              <c:showPercent val="1"/>
            </c:dLbl>
            <c:dLbl>
              <c:idx val="1"/>
              <c:layout>
                <c:manualLayout>
                  <c:x val="2.4037406216260201E-2"/>
                  <c:y val="-2.1434763345889236E-2"/>
                </c:manualLayout>
              </c:layout>
              <c:tx>
                <c:rich>
                  <a:bodyPr/>
                  <a:lstStyle/>
                  <a:p>
                    <a:r>
                      <a:rPr lang="ka-GE"/>
                      <a:t>ვაჭრობა
16,3%</a:t>
                    </a:r>
                  </a:p>
                </c:rich>
              </c:tx>
              <c:showCatName val="1"/>
              <c:showPercent val="1"/>
            </c:dLbl>
            <c:dLbl>
              <c:idx val="2"/>
              <c:layout>
                <c:manualLayout>
                  <c:x val="5.5182905821594033E-2"/>
                  <c:y val="-4.7162843179835573E-2"/>
                </c:manualLayout>
              </c:layout>
              <c:tx>
                <c:rich>
                  <a:bodyPr/>
                  <a:lstStyle/>
                  <a:p>
                    <a:r>
                      <a:rPr lang="ka-GE"/>
                      <a:t>ტრანსპორტი და კავშირგაბმულობა
10,1%</a:t>
                    </a:r>
                  </a:p>
                </c:rich>
              </c:tx>
              <c:showCatName val="1"/>
              <c:showPercent val="1"/>
            </c:dLbl>
            <c:dLbl>
              <c:idx val="3"/>
              <c:layout>
                <c:manualLayout>
                  <c:x val="-3.7426926747792889E-2"/>
                  <c:y val="-2.1931349117695251E-3"/>
                </c:manualLayout>
              </c:layout>
              <c:tx>
                <c:rich>
                  <a:bodyPr/>
                  <a:lstStyle/>
                  <a:p>
                    <a:r>
                      <a:rPr lang="ka-GE"/>
                      <a:t>სოფლის მეურნეობა, მეთევზეობა
9,3%</a:t>
                    </a:r>
                  </a:p>
                </c:rich>
              </c:tx>
              <c:showCatName val="1"/>
              <c:showPercent val="1"/>
            </c:dLbl>
            <c:dLbl>
              <c:idx val="4"/>
              <c:layout>
                <c:manualLayout>
                  <c:x val="-9.0793545021444766E-2"/>
                  <c:y val="-3.4165469951064807E-2"/>
                </c:manualLayout>
              </c:layout>
              <c:tx>
                <c:rich>
                  <a:bodyPr/>
                  <a:lstStyle/>
                  <a:p>
                    <a:r>
                      <a:rPr lang="ka-GE"/>
                      <a:t>სახელმწიფო მმართველობა
9,1%</a:t>
                    </a:r>
                  </a:p>
                </c:rich>
              </c:tx>
              <c:showCatName val="1"/>
              <c:showPercent val="1"/>
            </c:dLbl>
            <c:dLbl>
              <c:idx val="5"/>
              <c:layout>
                <c:manualLayout>
                  <c:x val="-4.9850116167361624E-2"/>
                  <c:y val="1.1514797251799359E-2"/>
                </c:manualLayout>
              </c:layout>
              <c:tx>
                <c:rich>
                  <a:bodyPr/>
                  <a:lstStyle/>
                  <a:p>
                    <a:r>
                      <a:rPr lang="ka-GE"/>
                      <a:t>მშენებლობა
8,3%</a:t>
                    </a:r>
                  </a:p>
                </c:rich>
              </c:tx>
              <c:showCatName val="1"/>
              <c:showPercent val="1"/>
            </c:dLbl>
            <c:dLbl>
              <c:idx val="6"/>
              <c:tx>
                <c:rich>
                  <a:bodyPr/>
                  <a:lstStyle/>
                  <a:p>
                    <a:r>
                      <a:rPr lang="ka-GE"/>
                      <a:t>ოპერაციები უძრავი ქონებით 
6,6%</a:t>
                    </a:r>
                  </a:p>
                </c:rich>
              </c:tx>
              <c:showCatName val="1"/>
              <c:showPercent val="1"/>
            </c:dLbl>
            <c:dLbl>
              <c:idx val="7"/>
              <c:tx>
                <c:rich>
                  <a:bodyPr/>
                  <a:lstStyle/>
                  <a:p>
                    <a:r>
                      <a:rPr lang="ka-GE"/>
                      <a:t>ჯანმრთელობის დაცვა და სოციალური დახმარება
5,8%</a:t>
                    </a:r>
                  </a:p>
                </c:rich>
              </c:tx>
              <c:showCatName val="1"/>
              <c:showPercent val="1"/>
            </c:dLbl>
            <c:dLbl>
              <c:idx val="8"/>
              <c:layout>
                <c:manualLayout>
                  <c:x val="-9.6002180598637271E-2"/>
                  <c:y val="6.448789766056659E-2"/>
                </c:manualLayout>
              </c:layout>
              <c:tx>
                <c:rich>
                  <a:bodyPr/>
                  <a:lstStyle/>
                  <a:p>
                    <a:r>
                      <a:rPr lang="ka-GE"/>
                      <a:t>დანარჩენი დარგები
17,5%</a:t>
                    </a:r>
                  </a:p>
                </c:rich>
              </c:tx>
              <c:showCatName val="1"/>
              <c:showPercent val="1"/>
            </c:dLbl>
            <c:numFmt formatCode="0.0%" sourceLinked="0"/>
            <c:showCatName val="1"/>
            <c:showPercent val="1"/>
            <c:showLeaderLines val="1"/>
          </c:dLbls>
          <c:cat>
            <c:strRef>
              <c:f>'cliuri struqt'!$A$3:$A$11</c:f>
              <c:strCache>
                <c:ptCount val="9"/>
                <c:pt idx="0">
                  <c:v>მრეწველობა</c:v>
                </c:pt>
                <c:pt idx="1">
                  <c:v>ვაჭრობა</c:v>
                </c:pt>
                <c:pt idx="2">
                  <c:v>ტრანსპორტი და კავშირგაბმულობა</c:v>
                </c:pt>
                <c:pt idx="3">
                  <c:v>სოფლის მეურნეობა, მეთევზეობა</c:v>
                </c:pt>
                <c:pt idx="4">
                  <c:v>სახელმწიფო მმართველობა</c:v>
                </c:pt>
                <c:pt idx="5">
                  <c:v>მშენებლობა</c:v>
                </c:pt>
                <c:pt idx="6">
                  <c:v>ოპერაციები უძრავი ქონებით, იჯარა და მომხმარებლისათვის მომსახურების გაწევა</c:v>
                </c:pt>
                <c:pt idx="7">
                  <c:v>ჯანმრთელობის დაცვა და სოციალური დახმარება</c:v>
                </c:pt>
                <c:pt idx="8">
                  <c:v>დანარჩენი დარგები</c:v>
                </c:pt>
              </c:strCache>
            </c:strRef>
          </c:cat>
          <c:val>
            <c:numRef>
              <c:f>'cliuri struqt'!$B$3:$B$11</c:f>
              <c:numCache>
                <c:formatCode>0.0</c:formatCode>
                <c:ptCount val="9"/>
                <c:pt idx="0">
                  <c:v>17.062809677232107</c:v>
                </c:pt>
                <c:pt idx="1">
                  <c:v>16.327531295529663</c:v>
                </c:pt>
                <c:pt idx="2">
                  <c:v>10.094092216790052</c:v>
                </c:pt>
                <c:pt idx="3">
                  <c:v>9.2519593649933789</c:v>
                </c:pt>
                <c:pt idx="4">
                  <c:v>9.1073972958908485</c:v>
                </c:pt>
                <c:pt idx="5" formatCode="#,##0.0">
                  <c:v>8.3194620741105005</c:v>
                </c:pt>
                <c:pt idx="6">
                  <c:v>6.5520852898534345</c:v>
                </c:pt>
                <c:pt idx="7">
                  <c:v>5.8181268006714255</c:v>
                </c:pt>
                <c:pt idx="8">
                  <c:v>17.466535984928068</c:v>
                </c:pt>
              </c:numCache>
            </c:numRef>
          </c:val>
        </c:ser>
        <c:dLbls>
          <c:showCatName val="1"/>
          <c:showPercent val="1"/>
        </c:dLbls>
        <c:firstSliceAng val="0"/>
      </c:pieChart>
    </c:plotArea>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8751911889976867"/>
          <c:y val="0"/>
          <c:w val="0.6215557928582327"/>
          <c:h val="0.81883822199476819"/>
        </c:manualLayout>
      </c:layout>
      <c:barChart>
        <c:barDir val="bar"/>
        <c:grouping val="clustered"/>
        <c:ser>
          <c:idx val="0"/>
          <c:order val="0"/>
          <c:tx>
            <c:strRef>
              <c:f>Sheet1!$A$2</c:f>
              <c:strCache>
                <c:ptCount val="1"/>
                <c:pt idx="0">
                  <c:v>brunva</c:v>
                </c:pt>
              </c:strCache>
            </c:strRef>
          </c:tx>
          <c:spPr>
            <a:solidFill>
              <a:srgbClr val="FF5050"/>
            </a:solidFill>
            <a:ln w="25360">
              <a:noFill/>
            </a:ln>
          </c:spPr>
          <c:cat>
            <c:strRef>
              <c:f>Sheet1!$B$1:$K$1</c:f>
              <c:strCache>
                <c:ptCount val="10"/>
                <c:pt idx="0">
                  <c:v>aWaris a.r.</c:v>
                </c:pt>
                <c:pt idx="1">
                  <c:v>guria</c:v>
                </c:pt>
                <c:pt idx="2">
                  <c:v>imereTi</c:v>
                </c:pt>
                <c:pt idx="3">
                  <c:v>kaxeTi</c:v>
                </c:pt>
                <c:pt idx="4">
                  <c:v>mcxeTa-mTianeTi</c:v>
                </c:pt>
                <c:pt idx="5">
                  <c:v>raWa-leCxumi da qvemo svaneTi</c:v>
                </c:pt>
                <c:pt idx="6">
                  <c:v>samegrelo-zemo svaneTi</c:v>
                </c:pt>
                <c:pt idx="7">
                  <c:v>samcxe-javaxeTi</c:v>
                </c:pt>
                <c:pt idx="8">
                  <c:v>qvemo qarTli</c:v>
                </c:pt>
                <c:pt idx="9">
                  <c:v>Sida qarTli</c:v>
                </c:pt>
              </c:strCache>
            </c:strRef>
          </c:cat>
          <c:val>
            <c:numRef>
              <c:f>Sheet1!$B$2:$K$2</c:f>
              <c:numCache>
                <c:formatCode>0.0</c:formatCode>
                <c:ptCount val="10"/>
                <c:pt idx="0">
                  <c:v>1159.2575449745284</c:v>
                </c:pt>
                <c:pt idx="1">
                  <c:v>96.537102252584134</c:v>
                </c:pt>
                <c:pt idx="2">
                  <c:v>721.40818119849439</c:v>
                </c:pt>
                <c:pt idx="3">
                  <c:v>313.41454197100126</c:v>
                </c:pt>
                <c:pt idx="4">
                  <c:v>193.33912667502366</c:v>
                </c:pt>
                <c:pt idx="5">
                  <c:v>10.39025289290657</c:v>
                </c:pt>
                <c:pt idx="6">
                  <c:v>519.14902314711753</c:v>
                </c:pt>
                <c:pt idx="7">
                  <c:v>219.03185328956189</c:v>
                </c:pt>
                <c:pt idx="8">
                  <c:v>986.3500791173476</c:v>
                </c:pt>
                <c:pt idx="9">
                  <c:v>309.50333392416894</c:v>
                </c:pt>
              </c:numCache>
            </c:numRef>
          </c:val>
        </c:ser>
        <c:ser>
          <c:idx val="1"/>
          <c:order val="1"/>
          <c:tx>
            <c:strRef>
              <c:f>Sheet1!$A$3</c:f>
              <c:strCache>
                <c:ptCount val="1"/>
                <c:pt idx="0">
                  <c:v>produqciis gamoSveba</c:v>
                </c:pt>
              </c:strCache>
            </c:strRef>
          </c:tx>
          <c:spPr>
            <a:solidFill>
              <a:srgbClr val="C0C0C0"/>
            </a:solidFill>
            <a:ln w="25360">
              <a:noFill/>
            </a:ln>
          </c:spPr>
          <c:cat>
            <c:strRef>
              <c:f>Sheet1!$B$1:$K$1</c:f>
              <c:strCache>
                <c:ptCount val="10"/>
                <c:pt idx="0">
                  <c:v>aWaris a.r.</c:v>
                </c:pt>
                <c:pt idx="1">
                  <c:v>guria</c:v>
                </c:pt>
                <c:pt idx="2">
                  <c:v>imereTi</c:v>
                </c:pt>
                <c:pt idx="3">
                  <c:v>kaxeTi</c:v>
                </c:pt>
                <c:pt idx="4">
                  <c:v>mcxeTa-mTianeTi</c:v>
                </c:pt>
                <c:pt idx="5">
                  <c:v>raWa-leCxumi da qvemo svaneTi</c:v>
                </c:pt>
                <c:pt idx="6">
                  <c:v>samegrelo-zemo svaneTi</c:v>
                </c:pt>
                <c:pt idx="7">
                  <c:v>samcxe-javaxeTi</c:v>
                </c:pt>
                <c:pt idx="8">
                  <c:v>qvemo qarTli</c:v>
                </c:pt>
                <c:pt idx="9">
                  <c:v>Sida qarTli</c:v>
                </c:pt>
              </c:strCache>
            </c:strRef>
          </c:cat>
          <c:val>
            <c:numRef>
              <c:f>Sheet1!$B$3:$K$3</c:f>
              <c:numCache>
                <c:formatCode>0.0</c:formatCode>
                <c:ptCount val="10"/>
                <c:pt idx="0">
                  <c:v>703.36558254499948</c:v>
                </c:pt>
                <c:pt idx="1">
                  <c:v>65.1541</c:v>
                </c:pt>
                <c:pt idx="2">
                  <c:v>420.79409999999899</c:v>
                </c:pt>
                <c:pt idx="3">
                  <c:v>186.02090000000001</c:v>
                </c:pt>
                <c:pt idx="4">
                  <c:v>151.9847</c:v>
                </c:pt>
                <c:pt idx="5">
                  <c:v>7.8411999999999997</c:v>
                </c:pt>
                <c:pt idx="6">
                  <c:v>340.57394953799923</c:v>
                </c:pt>
                <c:pt idx="7">
                  <c:v>154.92816005400007</c:v>
                </c:pt>
                <c:pt idx="8">
                  <c:v>680.58399999999995</c:v>
                </c:pt>
                <c:pt idx="9">
                  <c:v>166.81059999999999</c:v>
                </c:pt>
              </c:numCache>
            </c:numRef>
          </c:val>
        </c:ser>
        <c:gapWidth val="30"/>
        <c:axId val="126430592"/>
        <c:axId val="126506112"/>
      </c:barChart>
      <c:catAx>
        <c:axId val="126430592"/>
        <c:scaling>
          <c:orientation val="minMax"/>
        </c:scaling>
        <c:axPos val="l"/>
        <c:numFmt formatCode="General" sourceLinked="1"/>
        <c:majorTickMark val="none"/>
        <c:tickLblPos val="nextTo"/>
        <c:spPr>
          <a:ln w="3170">
            <a:solidFill>
              <a:srgbClr val="808080"/>
            </a:solidFill>
            <a:prstDash val="solid"/>
          </a:ln>
        </c:spPr>
        <c:txPr>
          <a:bodyPr rot="0" vert="horz"/>
          <a:lstStyle/>
          <a:p>
            <a:pPr>
              <a:defRPr sz="900" b="0" i="0" u="none" strike="noStrike" baseline="0">
                <a:solidFill>
                  <a:srgbClr val="000000"/>
                </a:solidFill>
                <a:latin typeface="LiterNusx"/>
                <a:ea typeface="LiterNusx"/>
                <a:cs typeface="LiterNusx"/>
              </a:defRPr>
            </a:pPr>
            <a:endParaRPr lang="en-US"/>
          </a:p>
        </c:txPr>
        <c:crossAx val="126506112"/>
        <c:crosses val="autoZero"/>
        <c:auto val="1"/>
        <c:lblAlgn val="ctr"/>
        <c:lblOffset val="100"/>
        <c:tickLblSkip val="1"/>
        <c:tickMarkSkip val="1"/>
      </c:catAx>
      <c:valAx>
        <c:axId val="126506112"/>
        <c:scaling>
          <c:orientation val="minMax"/>
          <c:max val="1200"/>
          <c:min val="0"/>
        </c:scaling>
        <c:axPos val="b"/>
        <c:majorGridlines>
          <c:spPr>
            <a:ln w="3170">
              <a:solidFill>
                <a:srgbClr val="969696"/>
              </a:solidFill>
              <a:prstDash val="solid"/>
            </a:ln>
          </c:spPr>
        </c:majorGridlines>
        <c:title>
          <c:tx>
            <c:rich>
              <a:bodyPr/>
              <a:lstStyle/>
              <a:p>
                <a:pPr>
                  <a:defRPr sz="945" b="1" i="0" u="none" strike="noStrike" baseline="0">
                    <a:solidFill>
                      <a:srgbClr val="000000"/>
                    </a:solidFill>
                    <a:latin typeface="LiterNusx"/>
                    <a:ea typeface="LiterNusx"/>
                    <a:cs typeface="LiterNusx"/>
                  </a:defRPr>
                </a:pPr>
                <a:r>
                  <a:rPr lang="en-US"/>
                  <a:t>milioni lari</a:t>
                </a:r>
              </a:p>
            </c:rich>
          </c:tx>
          <c:layout>
            <c:manualLayout>
              <c:xMode val="edge"/>
              <c:yMode val="edge"/>
              <c:x val="0.78946516475514272"/>
              <c:y val="0.9078910209069615"/>
            </c:manualLayout>
          </c:layout>
          <c:spPr>
            <a:noFill/>
            <a:ln w="25360">
              <a:noFill/>
            </a:ln>
          </c:spPr>
        </c:title>
        <c:numFmt formatCode="0" sourceLinked="0"/>
        <c:majorTickMark val="none"/>
        <c:tickLblPos val="nextTo"/>
        <c:spPr>
          <a:ln w="3170">
            <a:solidFill>
              <a:srgbClr val="808080"/>
            </a:solidFill>
            <a:prstDash val="solid"/>
          </a:ln>
        </c:spPr>
        <c:txPr>
          <a:bodyPr rot="0" vert="horz"/>
          <a:lstStyle/>
          <a:p>
            <a:pPr>
              <a:defRPr sz="1000" b="0" i="0" u="none" strike="noStrike" baseline="0">
                <a:solidFill>
                  <a:srgbClr val="000000"/>
                </a:solidFill>
                <a:latin typeface="Sylfaen" pitchFamily="18" charset="0"/>
                <a:ea typeface="Times New Roman"/>
                <a:cs typeface="Times New Roman"/>
              </a:defRPr>
            </a:pPr>
            <a:endParaRPr lang="en-US"/>
          </a:p>
        </c:txPr>
        <c:crossAx val="126430592"/>
        <c:crosses val="autoZero"/>
        <c:crossBetween val="between"/>
        <c:majorUnit val="100"/>
      </c:valAx>
    </c:plotArea>
    <c:legend>
      <c:legendPos val="r"/>
      <c:layout>
        <c:manualLayout>
          <c:xMode val="edge"/>
          <c:yMode val="edge"/>
          <c:x val="0.35045323502577758"/>
          <c:y val="0.91972484723011705"/>
          <c:w val="0.35498493096837547"/>
          <c:h val="6.0000000000000733E-2"/>
        </c:manualLayout>
      </c:layout>
      <c:spPr>
        <a:noFill/>
        <a:ln w="12680">
          <a:solidFill>
            <a:srgbClr val="FFFFFF"/>
          </a:solidFill>
          <a:prstDash val="solid"/>
        </a:ln>
      </c:spPr>
      <c:txPr>
        <a:bodyPr/>
        <a:lstStyle/>
        <a:p>
          <a:pPr>
            <a:defRPr sz="1100" b="0" i="0" u="none" strike="noStrike" baseline="0">
              <a:solidFill>
                <a:srgbClr val="000000"/>
              </a:solidFill>
              <a:latin typeface="LiterNusx"/>
              <a:ea typeface="LiterNusx"/>
              <a:cs typeface="LiterNusx"/>
            </a:defRPr>
          </a:pPr>
          <a:endParaRPr lang="en-US"/>
        </a:p>
      </c:txPr>
    </c:legend>
    <c:plotVisOnly val="1"/>
    <c:dispBlanksAs val="gap"/>
  </c:chart>
  <c:spPr>
    <a:solidFill>
      <a:srgbClr val="FFFFFF"/>
    </a:solidFill>
    <a:ln>
      <a:noFill/>
    </a:ln>
  </c:spPr>
  <c:txPr>
    <a:bodyPr/>
    <a:lstStyle/>
    <a:p>
      <a:pPr>
        <a:defRPr sz="1745" b="1" i="0" u="none" strike="noStrike" baseline="0">
          <a:solidFill>
            <a:srgbClr val="000000"/>
          </a:solidFill>
          <a:latin typeface="Arial"/>
          <a:ea typeface="Arial"/>
          <a:cs typeface="Arial"/>
        </a:defRPr>
      </a:pPr>
      <a:endParaRPr lang="en-US"/>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9737612757091036"/>
          <c:y val="3.1565219628134612E-2"/>
          <c:w val="0.65014577259485296"/>
          <c:h val="0.79756093525558591"/>
        </c:manualLayout>
      </c:layout>
      <c:barChart>
        <c:barDir val="bar"/>
        <c:grouping val="stacked"/>
        <c:ser>
          <c:idx val="0"/>
          <c:order val="0"/>
          <c:tx>
            <c:strRef>
              <c:f>Sheet1!$A$2</c:f>
              <c:strCache>
                <c:ptCount val="1"/>
                <c:pt idx="0">
                  <c:v>kaci</c:v>
                </c:pt>
              </c:strCache>
            </c:strRef>
          </c:tx>
          <c:spPr>
            <a:solidFill>
              <a:srgbClr val="FF5050"/>
            </a:solidFill>
            <a:ln w="25322">
              <a:noFill/>
            </a:ln>
          </c:spPr>
          <c:cat>
            <c:strRef>
              <c:f>Sheet1!$B$1:$L$1</c:f>
              <c:strCache>
                <c:ptCount val="11"/>
                <c:pt idx="0">
                  <c:v>Tbilisi</c:v>
                </c:pt>
                <c:pt idx="1">
                  <c:v>aWaris a.r.</c:v>
                </c:pt>
                <c:pt idx="2">
                  <c:v>guria</c:v>
                </c:pt>
                <c:pt idx="3">
                  <c:v>imereTi</c:v>
                </c:pt>
                <c:pt idx="4">
                  <c:v>kaxeTi</c:v>
                </c:pt>
                <c:pt idx="5">
                  <c:v>mcxeTa-mTianeTi</c:v>
                </c:pt>
                <c:pt idx="6">
                  <c:v>raWa-leCxumi daqvemo svaneTi</c:v>
                </c:pt>
                <c:pt idx="7">
                  <c:v>samegrelo-zemo svaneTi</c:v>
                </c:pt>
                <c:pt idx="8">
                  <c:v>samcxe-javaxeTi</c:v>
                </c:pt>
                <c:pt idx="9">
                  <c:v>qvemo qarTli</c:v>
                </c:pt>
                <c:pt idx="10">
                  <c:v>Sida qarTli</c:v>
                </c:pt>
              </c:strCache>
            </c:strRef>
          </c:cat>
          <c:val>
            <c:numRef>
              <c:f>Sheet1!$B$2:$L$2</c:f>
              <c:numCache>
                <c:formatCode>0.00%</c:formatCode>
                <c:ptCount val="11"/>
                <c:pt idx="0">
                  <c:v>0.57399999999999995</c:v>
                </c:pt>
                <c:pt idx="1">
                  <c:v>0.58099999999999996</c:v>
                </c:pt>
                <c:pt idx="2">
                  <c:v>0.68</c:v>
                </c:pt>
                <c:pt idx="3">
                  <c:v>0.66100000000000236</c:v>
                </c:pt>
                <c:pt idx="4">
                  <c:v>0.61600000000000188</c:v>
                </c:pt>
                <c:pt idx="5">
                  <c:v>0.64000000000000212</c:v>
                </c:pt>
                <c:pt idx="6">
                  <c:v>0.71400000000000063</c:v>
                </c:pt>
                <c:pt idx="7">
                  <c:v>0.6780000000000026</c:v>
                </c:pt>
                <c:pt idx="8">
                  <c:v>0.64000000000000212</c:v>
                </c:pt>
                <c:pt idx="9">
                  <c:v>0.64000000000000212</c:v>
                </c:pt>
                <c:pt idx="10">
                  <c:v>0.58599999999999997</c:v>
                </c:pt>
              </c:numCache>
            </c:numRef>
          </c:val>
        </c:ser>
        <c:ser>
          <c:idx val="1"/>
          <c:order val="1"/>
          <c:tx>
            <c:strRef>
              <c:f>Sheet1!$A$3</c:f>
              <c:strCache>
                <c:ptCount val="1"/>
                <c:pt idx="0">
                  <c:v>qali</c:v>
                </c:pt>
              </c:strCache>
            </c:strRef>
          </c:tx>
          <c:spPr>
            <a:solidFill>
              <a:srgbClr val="C0C0C0"/>
            </a:solidFill>
            <a:ln w="25322">
              <a:noFill/>
            </a:ln>
          </c:spPr>
          <c:cat>
            <c:strRef>
              <c:f>Sheet1!$B$1:$L$1</c:f>
              <c:strCache>
                <c:ptCount val="11"/>
                <c:pt idx="0">
                  <c:v>Tbilisi</c:v>
                </c:pt>
                <c:pt idx="1">
                  <c:v>aWaris a.r.</c:v>
                </c:pt>
                <c:pt idx="2">
                  <c:v>guria</c:v>
                </c:pt>
                <c:pt idx="3">
                  <c:v>imereTi</c:v>
                </c:pt>
                <c:pt idx="4">
                  <c:v>kaxeTi</c:v>
                </c:pt>
                <c:pt idx="5">
                  <c:v>mcxeTa-mTianeTi</c:v>
                </c:pt>
                <c:pt idx="6">
                  <c:v>raWa-leCxumi daqvemo svaneTi</c:v>
                </c:pt>
                <c:pt idx="7">
                  <c:v>samegrelo-zemo svaneTi</c:v>
                </c:pt>
                <c:pt idx="8">
                  <c:v>samcxe-javaxeTi</c:v>
                </c:pt>
                <c:pt idx="9">
                  <c:v>qvemo qarTli</c:v>
                </c:pt>
                <c:pt idx="10">
                  <c:v>Sida qarTli</c:v>
                </c:pt>
              </c:strCache>
            </c:strRef>
          </c:cat>
          <c:val>
            <c:numRef>
              <c:f>Sheet1!$B$3:$L$3</c:f>
              <c:numCache>
                <c:formatCode>0.00%</c:formatCode>
                <c:ptCount val="11"/>
                <c:pt idx="0">
                  <c:v>0.42600000000000032</c:v>
                </c:pt>
                <c:pt idx="1">
                  <c:v>0.41900000000000032</c:v>
                </c:pt>
                <c:pt idx="2">
                  <c:v>0.32000000000000106</c:v>
                </c:pt>
                <c:pt idx="3">
                  <c:v>0.33900000000000124</c:v>
                </c:pt>
                <c:pt idx="4">
                  <c:v>0.38400000000000106</c:v>
                </c:pt>
                <c:pt idx="5">
                  <c:v>0.36000000000000032</c:v>
                </c:pt>
                <c:pt idx="6">
                  <c:v>0.28600000000000031</c:v>
                </c:pt>
                <c:pt idx="7">
                  <c:v>0.32200000000000106</c:v>
                </c:pt>
                <c:pt idx="8">
                  <c:v>0.36000000000000032</c:v>
                </c:pt>
                <c:pt idx="9">
                  <c:v>0.36000000000000032</c:v>
                </c:pt>
                <c:pt idx="10">
                  <c:v>0.41400000000000031</c:v>
                </c:pt>
              </c:numCache>
            </c:numRef>
          </c:val>
        </c:ser>
        <c:gapWidth val="40"/>
        <c:overlap val="100"/>
        <c:axId val="2049536"/>
        <c:axId val="2051072"/>
      </c:barChart>
      <c:catAx>
        <c:axId val="2049536"/>
        <c:scaling>
          <c:orientation val="minMax"/>
        </c:scaling>
        <c:axPos val="l"/>
        <c:numFmt formatCode="General" sourceLinked="1"/>
        <c:majorTickMark val="none"/>
        <c:tickLblPos val="nextTo"/>
        <c:spPr>
          <a:ln w="3165">
            <a:solidFill>
              <a:srgbClr val="808080"/>
            </a:solidFill>
            <a:prstDash val="solid"/>
          </a:ln>
        </c:spPr>
        <c:txPr>
          <a:bodyPr rot="0" vert="horz"/>
          <a:lstStyle/>
          <a:p>
            <a:pPr>
              <a:defRPr sz="1020" b="0" i="0" u="none" strike="noStrike" baseline="0">
                <a:solidFill>
                  <a:srgbClr val="000000"/>
                </a:solidFill>
                <a:latin typeface="LiterNusx"/>
                <a:ea typeface="LiterNusx"/>
                <a:cs typeface="LiterNusx"/>
              </a:defRPr>
            </a:pPr>
            <a:endParaRPr lang="en-US"/>
          </a:p>
        </c:txPr>
        <c:crossAx val="2051072"/>
        <c:crosses val="autoZero"/>
        <c:auto val="1"/>
        <c:lblAlgn val="ctr"/>
        <c:lblOffset val="100"/>
        <c:tickLblSkip val="1"/>
        <c:tickMarkSkip val="1"/>
      </c:catAx>
      <c:valAx>
        <c:axId val="2051072"/>
        <c:scaling>
          <c:orientation val="minMax"/>
          <c:max val="1"/>
        </c:scaling>
        <c:axPos val="b"/>
        <c:majorGridlines>
          <c:spPr>
            <a:ln w="3165">
              <a:solidFill>
                <a:srgbClr val="969696"/>
              </a:solidFill>
              <a:prstDash val="solid"/>
            </a:ln>
          </c:spPr>
        </c:majorGridlines>
        <c:minorGridlines>
          <c:spPr>
            <a:ln w="3165">
              <a:solidFill>
                <a:srgbClr val="000000"/>
              </a:solidFill>
              <a:prstDash val="solid"/>
            </a:ln>
          </c:spPr>
        </c:minorGridlines>
        <c:numFmt formatCode="0%" sourceLinked="0"/>
        <c:majorTickMark val="none"/>
        <c:tickLblPos val="nextTo"/>
        <c:spPr>
          <a:ln w="3165">
            <a:solidFill>
              <a:srgbClr val="808080"/>
            </a:solidFill>
            <a:prstDash val="solid"/>
          </a:ln>
        </c:spPr>
        <c:txPr>
          <a:bodyPr rot="0" vert="horz"/>
          <a:lstStyle/>
          <a:p>
            <a:pPr>
              <a:defRPr sz="995" b="0" i="0" u="none" strike="noStrike" baseline="0">
                <a:solidFill>
                  <a:srgbClr val="000000"/>
                </a:solidFill>
                <a:latin typeface="Times New Roman"/>
                <a:ea typeface="Times New Roman"/>
                <a:cs typeface="Times New Roman"/>
              </a:defRPr>
            </a:pPr>
            <a:endParaRPr lang="en-US"/>
          </a:p>
        </c:txPr>
        <c:crossAx val="2049536"/>
        <c:crosses val="autoZero"/>
        <c:crossBetween val="between"/>
        <c:majorUnit val="0.1"/>
        <c:minorUnit val="0.1"/>
      </c:valAx>
      <c:spPr>
        <a:solidFill>
          <a:srgbClr val="FFFFFF"/>
        </a:solidFill>
        <a:ln w="12660">
          <a:solidFill>
            <a:srgbClr val="C0C0C0"/>
          </a:solidFill>
          <a:prstDash val="solid"/>
        </a:ln>
      </c:spPr>
    </c:plotArea>
    <c:legend>
      <c:legendPos val="r"/>
      <c:layout>
        <c:manualLayout>
          <c:xMode val="edge"/>
          <c:yMode val="edge"/>
          <c:x val="0.47813414564055406"/>
          <c:y val="0.93302848862642174"/>
          <c:w val="0.20262390446808182"/>
          <c:h val="4.7237273306938533E-2"/>
        </c:manualLayout>
      </c:layout>
      <c:spPr>
        <a:noFill/>
        <a:ln w="12660">
          <a:solidFill>
            <a:srgbClr val="FFFFFF"/>
          </a:solidFill>
          <a:prstDash val="solid"/>
        </a:ln>
      </c:spPr>
      <c:txPr>
        <a:bodyPr/>
        <a:lstStyle/>
        <a:p>
          <a:pPr>
            <a:defRPr sz="1000" b="0" i="0" u="none" strike="noStrike" baseline="0">
              <a:solidFill>
                <a:srgbClr val="000000"/>
              </a:solidFill>
              <a:latin typeface="LiterNusx"/>
              <a:ea typeface="LiterNusx"/>
              <a:cs typeface="LiterNusx"/>
            </a:defRPr>
          </a:pPr>
          <a:endParaRPr lang="en-US"/>
        </a:p>
      </c:txPr>
    </c:legend>
    <c:plotVisOnly val="1"/>
    <c:dispBlanksAs val="gap"/>
  </c:chart>
  <c:spPr>
    <a:solidFill>
      <a:srgbClr val="FFFFFF"/>
    </a:solidFill>
    <a:ln>
      <a:noFill/>
    </a:ln>
  </c:spPr>
  <c:txPr>
    <a:bodyPr/>
    <a:lstStyle/>
    <a:p>
      <a:pPr>
        <a:defRPr sz="1795" b="1" i="0" u="none" strike="noStrike" baseline="0">
          <a:solidFill>
            <a:srgbClr val="000000"/>
          </a:solidFill>
          <a:latin typeface="Arial"/>
          <a:ea typeface="Arial"/>
          <a:cs typeface="Arial"/>
        </a:defRPr>
      </a:pPr>
      <a:endParaRPr lang="en-US"/>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ru-RU"/>
            </a:pPr>
            <a:r>
              <a:rPr lang="ka-GE" sz="1100" b="1" i="0" baseline="0">
                <a:latin typeface="Sylfaen" pitchFamily="18" charset="0"/>
              </a:rPr>
              <a:t>ცოცხლად  დაბადებულთა რიცხოვნობა სქესის მიხედვით                 </a:t>
            </a:r>
          </a:p>
        </c:rich>
      </c:tx>
      <c:layout>
        <c:manualLayout>
          <c:xMode val="edge"/>
          <c:yMode val="edge"/>
          <c:x val="0.22929211590818768"/>
          <c:y val="1.6158569833074503E-2"/>
        </c:manualLayout>
      </c:layout>
    </c:title>
    <c:plotArea>
      <c:layout>
        <c:manualLayout>
          <c:layoutTarget val="inner"/>
          <c:xMode val="edge"/>
          <c:yMode val="edge"/>
          <c:x val="8.2572814160909877E-2"/>
          <c:y val="0.16464418179926699"/>
          <c:w val="0.91742718135842749"/>
          <c:h val="0.69208299855056354"/>
        </c:manualLayout>
      </c:layout>
      <c:lineChart>
        <c:grouping val="standard"/>
        <c:ser>
          <c:idx val="2"/>
          <c:order val="0"/>
          <c:tx>
            <c:strRef>
              <c:f>Sheet1!$C$4</c:f>
              <c:strCache>
                <c:ptCount val="1"/>
                <c:pt idx="0">
                  <c:v>orive sqesi</c:v>
                </c:pt>
              </c:strCache>
            </c:strRef>
          </c:tx>
          <c:spPr>
            <a:ln>
              <a:solidFill>
                <a:schemeClr val="bg1">
                  <a:lumMod val="50000"/>
                </a:schemeClr>
              </a:solidFill>
            </a:ln>
          </c:spPr>
          <c:marker>
            <c:symbol val="circle"/>
            <c:size val="7"/>
            <c:spPr>
              <a:solidFill>
                <a:schemeClr val="bg1">
                  <a:lumMod val="50000"/>
                </a:schemeClr>
              </a:solidFill>
              <a:ln>
                <a:solidFill>
                  <a:schemeClr val="bg1">
                    <a:lumMod val="50000"/>
                  </a:schemeClr>
                </a:solidFill>
              </a:ln>
            </c:spPr>
          </c:marker>
          <c:dLbls>
            <c:numFmt formatCode="#,##0" sourceLinked="0"/>
            <c:txPr>
              <a:bodyPr/>
              <a:lstStyle/>
              <a:p>
                <a:pPr>
                  <a:defRPr sz="900">
                    <a:latin typeface="Times New Roman" pitchFamily="18" charset="0"/>
                    <a:cs typeface="Times New Roman" pitchFamily="18" charset="0"/>
                  </a:defRPr>
                </a:pPr>
                <a:endParaRPr lang="en-US"/>
              </a:p>
            </c:txPr>
            <c:dLblPos val="t"/>
            <c:showVal val="1"/>
          </c:dLbls>
          <c:cat>
            <c:numRef>
              <c:f>Sheet1!$B$6:$B$15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Sheet1!$C$6:$C$15</c:f>
              <c:numCache>
                <c:formatCode>General</c:formatCode>
                <c:ptCount val="10"/>
                <c:pt idx="0">
                  <c:v>49287</c:v>
                </c:pt>
                <c:pt idx="1">
                  <c:v>56565</c:v>
                </c:pt>
                <c:pt idx="2">
                  <c:v>63377</c:v>
                </c:pt>
                <c:pt idx="3">
                  <c:v>62585</c:v>
                </c:pt>
                <c:pt idx="4">
                  <c:v>58014</c:v>
                </c:pt>
                <c:pt idx="5">
                  <c:v>57031</c:v>
                </c:pt>
                <c:pt idx="6">
                  <c:v>57878</c:v>
                </c:pt>
                <c:pt idx="7">
                  <c:v>60635</c:v>
                </c:pt>
                <c:pt idx="8">
                  <c:v>59249</c:v>
                </c:pt>
                <c:pt idx="9">
                  <c:v>56569</c:v>
                </c:pt>
              </c:numCache>
            </c:numRef>
          </c:val>
        </c:ser>
        <c:ser>
          <c:idx val="3"/>
          <c:order val="1"/>
          <c:tx>
            <c:strRef>
              <c:f>Sheet1!$D$4</c:f>
              <c:strCache>
                <c:ptCount val="1"/>
                <c:pt idx="0">
                  <c:v>biWi</c:v>
                </c:pt>
              </c:strCache>
            </c:strRef>
          </c:tx>
          <c:spPr>
            <a:ln>
              <a:solidFill>
                <a:schemeClr val="tx2">
                  <a:lumMod val="60000"/>
                  <a:lumOff val="40000"/>
                </a:schemeClr>
              </a:solidFill>
            </a:ln>
          </c:spPr>
          <c:marker>
            <c:symbol val="circle"/>
            <c:size val="7"/>
            <c:spPr>
              <a:solidFill>
                <a:schemeClr val="tx2">
                  <a:lumMod val="60000"/>
                  <a:lumOff val="40000"/>
                </a:schemeClr>
              </a:solidFill>
              <a:ln>
                <a:solidFill>
                  <a:schemeClr val="tx2">
                    <a:lumMod val="60000"/>
                    <a:lumOff val="40000"/>
                  </a:schemeClr>
                </a:solidFill>
              </a:ln>
            </c:spPr>
          </c:marker>
          <c:dLbls>
            <c:numFmt formatCode="#,##0" sourceLinked="0"/>
            <c:txPr>
              <a:bodyPr/>
              <a:lstStyle/>
              <a:p>
                <a:pPr>
                  <a:defRPr sz="900" baseline="0">
                    <a:latin typeface="Times New Roman" pitchFamily="18" charset="0"/>
                  </a:defRPr>
                </a:pPr>
                <a:endParaRPr lang="en-US"/>
              </a:p>
            </c:txPr>
            <c:dLblPos val="t"/>
            <c:showVal val="1"/>
          </c:dLbls>
          <c:cat>
            <c:numRef>
              <c:f>Sheet1!$B$6:$B$15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Sheet1!$D$6:$D$15</c:f>
              <c:numCache>
                <c:formatCode>General</c:formatCode>
                <c:ptCount val="10"/>
                <c:pt idx="0">
                  <c:v>25882</c:v>
                </c:pt>
                <c:pt idx="1">
                  <c:v>31720</c:v>
                </c:pt>
                <c:pt idx="2">
                  <c:v>32385</c:v>
                </c:pt>
                <c:pt idx="3">
                  <c:v>32488</c:v>
                </c:pt>
                <c:pt idx="4">
                  <c:v>30330</c:v>
                </c:pt>
                <c:pt idx="5">
                  <c:v>29801</c:v>
                </c:pt>
                <c:pt idx="6">
                  <c:v>30027</c:v>
                </c:pt>
                <c:pt idx="7">
                  <c:v>31325</c:v>
                </c:pt>
                <c:pt idx="8">
                  <c:v>30902</c:v>
                </c:pt>
                <c:pt idx="9">
                  <c:v>28887</c:v>
                </c:pt>
              </c:numCache>
            </c:numRef>
          </c:val>
        </c:ser>
        <c:ser>
          <c:idx val="0"/>
          <c:order val="2"/>
          <c:tx>
            <c:strRef>
              <c:f>Sheet1!$E$4</c:f>
              <c:strCache>
                <c:ptCount val="1"/>
                <c:pt idx="0">
                  <c:v>gogo</c:v>
                </c:pt>
              </c:strCache>
            </c:strRef>
          </c:tx>
          <c:spPr>
            <a:ln>
              <a:solidFill>
                <a:srgbClr val="FF0000"/>
              </a:solidFill>
            </a:ln>
          </c:spPr>
          <c:marker>
            <c:spPr>
              <a:solidFill>
                <a:srgbClr val="FF0000"/>
              </a:solidFill>
              <a:ln>
                <a:solidFill>
                  <a:srgbClr val="FF0000"/>
                </a:solidFill>
              </a:ln>
            </c:spPr>
          </c:marker>
          <c:dLbls>
            <c:numFmt formatCode="#,##0" sourceLinked="0"/>
            <c:txPr>
              <a:bodyPr/>
              <a:lstStyle/>
              <a:p>
                <a:pPr>
                  <a:defRPr sz="900">
                    <a:latin typeface="Times New Roman" pitchFamily="18" charset="0"/>
                    <a:cs typeface="Times New Roman" pitchFamily="18" charset="0"/>
                  </a:defRPr>
                </a:pPr>
                <a:endParaRPr lang="en-US"/>
              </a:p>
            </c:txPr>
            <c:dLblPos val="b"/>
            <c:showVal val="1"/>
          </c:dLbls>
          <c:cat>
            <c:numRef>
              <c:f>Sheet1!$B$6:$B$15</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Sheet1!$E$6:$E$15</c:f>
              <c:numCache>
                <c:formatCode>General</c:formatCode>
                <c:ptCount val="10"/>
                <c:pt idx="0">
                  <c:v>23405</c:v>
                </c:pt>
                <c:pt idx="1">
                  <c:v>24845</c:v>
                </c:pt>
                <c:pt idx="2">
                  <c:v>30992</c:v>
                </c:pt>
                <c:pt idx="3">
                  <c:v>30097</c:v>
                </c:pt>
                <c:pt idx="4">
                  <c:v>27684</c:v>
                </c:pt>
                <c:pt idx="5">
                  <c:v>27230</c:v>
                </c:pt>
                <c:pt idx="6">
                  <c:v>27851</c:v>
                </c:pt>
                <c:pt idx="7">
                  <c:v>29310</c:v>
                </c:pt>
                <c:pt idx="8">
                  <c:v>28347</c:v>
                </c:pt>
                <c:pt idx="9">
                  <c:v>27682</c:v>
                </c:pt>
              </c:numCache>
            </c:numRef>
          </c:val>
        </c:ser>
        <c:marker val="1"/>
        <c:axId val="127882368"/>
        <c:axId val="127883904"/>
      </c:lineChart>
      <c:catAx>
        <c:axId val="127882368"/>
        <c:scaling>
          <c:orientation val="minMax"/>
        </c:scaling>
        <c:axPos val="b"/>
        <c:numFmt formatCode="General" sourceLinked="1"/>
        <c:majorTickMark val="none"/>
        <c:tickLblPos val="nextTo"/>
        <c:txPr>
          <a:bodyPr/>
          <a:lstStyle/>
          <a:p>
            <a:pPr>
              <a:defRPr lang="ru-RU" sz="1000" baseline="0">
                <a:latin typeface="Times New Roman" pitchFamily="18" charset="0"/>
                <a:cs typeface="Times New Roman" pitchFamily="18" charset="0"/>
              </a:defRPr>
            </a:pPr>
            <a:endParaRPr lang="en-US"/>
          </a:p>
        </c:txPr>
        <c:crossAx val="127883904"/>
        <c:crosses val="autoZero"/>
        <c:auto val="1"/>
        <c:lblAlgn val="ctr"/>
        <c:lblOffset val="100"/>
      </c:catAx>
      <c:valAx>
        <c:axId val="127883904"/>
        <c:scaling>
          <c:orientation val="minMax"/>
          <c:max val="70000"/>
        </c:scaling>
        <c:axPos val="l"/>
        <c:numFmt formatCode="#,##0" sourceLinked="0"/>
        <c:majorTickMark val="none"/>
        <c:tickLblPos val="nextTo"/>
        <c:txPr>
          <a:bodyPr/>
          <a:lstStyle/>
          <a:p>
            <a:pPr>
              <a:defRPr lang="ru-RU" sz="1000" baseline="0">
                <a:latin typeface="Times New Roman" pitchFamily="18" charset="0"/>
                <a:cs typeface="Times New Roman" pitchFamily="18" charset="0"/>
              </a:defRPr>
            </a:pPr>
            <a:endParaRPr lang="en-US"/>
          </a:p>
        </c:txPr>
        <c:crossAx val="127882368"/>
        <c:crosses val="autoZero"/>
        <c:crossBetween val="between"/>
        <c:majorUnit val="10000"/>
      </c:valAx>
    </c:plotArea>
    <c:legend>
      <c:legendPos val="r"/>
      <c:layout>
        <c:manualLayout>
          <c:xMode val="edge"/>
          <c:yMode val="edge"/>
          <c:x val="8.3704064623342761E-2"/>
          <c:y val="0.74601425704548496"/>
          <c:w val="0.65859535415459214"/>
          <c:h val="0.11071334112995949"/>
        </c:manualLayout>
      </c:layout>
      <c:txPr>
        <a:bodyPr/>
        <a:lstStyle/>
        <a:p>
          <a:pPr>
            <a:defRPr sz="900" baseline="0">
              <a:latin typeface="AcadNusx" pitchFamily="2" charset="0"/>
            </a:defRPr>
          </a:pPr>
          <a:endParaRPr lang="en-US"/>
        </a:p>
      </c:txPr>
    </c:legend>
    <c:plotVisOnly val="1"/>
    <c:dispBlanksAs val="gap"/>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latin typeface="AcadMtavr" pitchFamily="2" charset="0"/>
              </a:defRPr>
            </a:pPr>
            <a:r>
              <a:rPr lang="ka-GE" sz="1200" b="1" i="0" baseline="0">
                <a:latin typeface="Sylfaen" pitchFamily="18" charset="0"/>
              </a:rPr>
              <a:t>გარდაცვლილთა რიცხოვნობა</a:t>
            </a:r>
          </a:p>
        </c:rich>
      </c:tx>
    </c:title>
    <c:plotArea>
      <c:layout>
        <c:manualLayout>
          <c:layoutTarget val="inner"/>
          <c:xMode val="edge"/>
          <c:yMode val="edge"/>
          <c:x val="7.7382527184102934E-2"/>
          <c:y val="9.6684380883485008E-2"/>
          <c:w val="0.92261747281590001"/>
          <c:h val="0.76183114919822292"/>
        </c:manualLayout>
      </c:layout>
      <c:lineChart>
        <c:grouping val="stacked"/>
        <c:ser>
          <c:idx val="1"/>
          <c:order val="0"/>
          <c:dLbls>
            <c:dLbl>
              <c:idx val="0"/>
              <c:layout>
                <c:manualLayout>
                  <c:x val="-5.3169734151329424E-2"/>
                  <c:y val="8.0094228504123247E-2"/>
                </c:manualLayout>
              </c:layout>
              <c:showVal val="1"/>
            </c:dLbl>
            <c:dLbl>
              <c:idx val="1"/>
              <c:layout>
                <c:manualLayout>
                  <c:x val="-4.4989775051124774E-2"/>
                  <c:y val="-8.4805653710247744E-2"/>
                </c:manualLayout>
              </c:layout>
              <c:showVal val="1"/>
            </c:dLbl>
            <c:dLbl>
              <c:idx val="2"/>
              <c:layout>
                <c:manualLayout>
                  <c:x val="-4.7034764826176328E-2"/>
                  <c:y val="8.4805653710247744E-2"/>
                </c:manualLayout>
              </c:layout>
              <c:showVal val="1"/>
            </c:dLbl>
            <c:dLbl>
              <c:idx val="3"/>
              <c:layout>
                <c:manualLayout>
                  <c:x val="-4.2944785276073615E-2"/>
                  <c:y val="-7.5382803297997694E-2"/>
                </c:manualLayout>
              </c:layout>
              <c:showVal val="1"/>
            </c:dLbl>
            <c:dLbl>
              <c:idx val="4"/>
              <c:layout>
                <c:manualLayout>
                  <c:x val="-4.9079754601227002E-2"/>
                  <c:y val="8.0094228504123247E-2"/>
                </c:manualLayout>
              </c:layout>
              <c:showVal val="1"/>
            </c:dLbl>
            <c:dLbl>
              <c:idx val="5"/>
              <c:layout>
                <c:manualLayout>
                  <c:x val="-4.7034764826176231E-2"/>
                  <c:y val="-7.0671378091872766E-2"/>
                </c:manualLayout>
              </c:layout>
              <c:showVal val="1"/>
            </c:dLbl>
            <c:dLbl>
              <c:idx val="6"/>
              <c:layout>
                <c:manualLayout>
                  <c:x val="-5.1124744376278057E-2"/>
                  <c:y val="6.5959952885747936E-2"/>
                </c:manualLayout>
              </c:layout>
              <c:showVal val="1"/>
            </c:dLbl>
            <c:dLbl>
              <c:idx val="7"/>
              <c:layout>
                <c:manualLayout>
                  <c:x val="-4.9079754601227002E-2"/>
                  <c:y val="-7.0671378091872766E-2"/>
                </c:manualLayout>
              </c:layout>
              <c:showVal val="1"/>
            </c:dLbl>
            <c:dLbl>
              <c:idx val="8"/>
              <c:layout>
                <c:manualLayout>
                  <c:x val="-4.9079754601227002E-2"/>
                  <c:y val="7.0671378091872766E-2"/>
                </c:manualLayout>
              </c:layout>
              <c:showVal val="1"/>
            </c:dLbl>
            <c:dLbl>
              <c:idx val="9"/>
              <c:layout>
                <c:manualLayout>
                  <c:x val="-2.2494887525562588E-2"/>
                  <c:y val="-7.5382803297997694E-2"/>
                </c:manualLayout>
              </c:layout>
              <c:showVal val="1"/>
            </c:dLbl>
            <c:numFmt formatCode="#,##0" sourceLinked="0"/>
            <c:txPr>
              <a:bodyPr/>
              <a:lstStyle/>
              <a:p>
                <a:pPr>
                  <a:defRPr sz="900">
                    <a:latin typeface="Times New Roman" pitchFamily="18" charset="0"/>
                    <a:cs typeface="Times New Roman" pitchFamily="18" charset="0"/>
                  </a:defRPr>
                </a:pPr>
                <a:endParaRPr lang="en-US"/>
              </a:p>
            </c:txPr>
            <c:showVal val="1"/>
          </c:dLbls>
          <c:cat>
            <c:numRef>
              <c:f>Sheet1!$A$1:$J$1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Sheet1!$A$2:$J$2</c:f>
              <c:numCache>
                <c:formatCode>General</c:formatCode>
                <c:ptCount val="10"/>
                <c:pt idx="0">
                  <c:v>41178</c:v>
                </c:pt>
                <c:pt idx="1">
                  <c:v>43011</c:v>
                </c:pt>
                <c:pt idx="2">
                  <c:v>46625</c:v>
                </c:pt>
                <c:pt idx="3">
                  <c:v>47864</c:v>
                </c:pt>
                <c:pt idx="4">
                  <c:v>49818</c:v>
                </c:pt>
                <c:pt idx="5">
                  <c:v>49348</c:v>
                </c:pt>
                <c:pt idx="6">
                  <c:v>48553</c:v>
                </c:pt>
                <c:pt idx="7">
                  <c:v>49087</c:v>
                </c:pt>
                <c:pt idx="8">
                  <c:v>49121</c:v>
                </c:pt>
                <c:pt idx="9">
                  <c:v>50771</c:v>
                </c:pt>
              </c:numCache>
            </c:numRef>
          </c:val>
        </c:ser>
        <c:marker val="1"/>
        <c:axId val="127851136"/>
        <c:axId val="127938944"/>
      </c:lineChart>
      <c:catAx>
        <c:axId val="127851136"/>
        <c:scaling>
          <c:orientation val="minMax"/>
        </c:scaling>
        <c:axPos val="b"/>
        <c:numFmt formatCode="General" sourceLinked="1"/>
        <c:majorTickMark val="none"/>
        <c:tickLblPos val="nextTo"/>
        <c:txPr>
          <a:bodyPr/>
          <a:lstStyle/>
          <a:p>
            <a:pPr>
              <a:defRPr lang="ru-RU">
                <a:latin typeface="Times New Roman" pitchFamily="18" charset="0"/>
                <a:cs typeface="Times New Roman" pitchFamily="18" charset="0"/>
              </a:defRPr>
            </a:pPr>
            <a:endParaRPr lang="en-US"/>
          </a:p>
        </c:txPr>
        <c:crossAx val="127938944"/>
        <c:crosses val="autoZero"/>
        <c:auto val="1"/>
        <c:lblAlgn val="ctr"/>
        <c:lblOffset val="100"/>
      </c:catAx>
      <c:valAx>
        <c:axId val="127938944"/>
        <c:scaling>
          <c:orientation val="minMax"/>
          <c:max val="60000"/>
          <c:min val="0"/>
        </c:scaling>
        <c:axPos val="l"/>
        <c:numFmt formatCode="#,##0" sourceLinked="0"/>
        <c:majorTickMark val="none"/>
        <c:tickLblPos val="nextTo"/>
        <c:txPr>
          <a:bodyPr/>
          <a:lstStyle/>
          <a:p>
            <a:pPr>
              <a:defRPr lang="ru-RU">
                <a:latin typeface="Times New Roman" pitchFamily="18" charset="0"/>
                <a:cs typeface="Times New Roman" pitchFamily="18" charset="0"/>
              </a:defRPr>
            </a:pPr>
            <a:endParaRPr lang="en-US"/>
          </a:p>
        </c:txPr>
        <c:crossAx val="127851136"/>
        <c:crosses val="autoZero"/>
        <c:crossBetween val="between"/>
        <c:majorUnit val="10000"/>
        <c:minorUnit val="2000"/>
      </c:valAx>
    </c:plotArea>
    <c:plotVisOnly val="1"/>
    <c:dispBlanksAs val="zero"/>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lang="ru-RU" sz="1200"/>
            </a:pPr>
            <a:r>
              <a:rPr lang="ka-GE" sz="1100">
                <a:latin typeface="Sylfaen" pitchFamily="18" charset="0"/>
              </a:rPr>
              <a:t>ბუნებრივი მატება </a:t>
            </a:r>
          </a:p>
        </c:rich>
      </c:tx>
      <c:layout>
        <c:manualLayout>
          <c:xMode val="edge"/>
          <c:yMode val="edge"/>
          <c:x val="0.40608342418736132"/>
          <c:y val="3.1367139107611554E-2"/>
        </c:manualLayout>
      </c:layout>
    </c:title>
    <c:plotArea>
      <c:layout>
        <c:manualLayout>
          <c:layoutTarget val="inner"/>
          <c:xMode val="edge"/>
          <c:yMode val="edge"/>
          <c:x val="7.9424881274004974E-2"/>
          <c:y val="0.12631713718712959"/>
          <c:w val="0.91275498187360016"/>
          <c:h val="0.723514072936005"/>
        </c:manualLayout>
      </c:layout>
      <c:lineChart>
        <c:grouping val="standard"/>
        <c:ser>
          <c:idx val="1"/>
          <c:order val="0"/>
          <c:tx>
            <c:strRef>
              <c:f>Sheet1!$B$1</c:f>
              <c:strCache>
                <c:ptCount val="1"/>
                <c:pt idx="0">
                  <c:v>ბუნებრივი მატება</c:v>
                </c:pt>
              </c:strCache>
            </c:strRef>
          </c:tx>
          <c:dLbls>
            <c:dLbl>
              <c:idx val="1"/>
              <c:layout>
                <c:manualLayout>
                  <c:x val="-2.0512820512820652E-3"/>
                  <c:y val="0.16533333333333344"/>
                </c:manualLayout>
              </c:layout>
              <c:dLblPos val="t"/>
              <c:showVal val="1"/>
            </c:dLbl>
            <c:dLbl>
              <c:idx val="3"/>
              <c:layout>
                <c:manualLayout>
                  <c:x val="-2.0512820512820652E-3"/>
                  <c:y val="0.192"/>
                </c:manualLayout>
              </c:layout>
              <c:dLblPos val="t"/>
              <c:showVal val="1"/>
            </c:dLbl>
            <c:dLbl>
              <c:idx val="5"/>
              <c:layout>
                <c:manualLayout>
                  <c:x val="-4.1025641025642014E-3"/>
                  <c:y val="0.17600000000000021"/>
                </c:manualLayout>
              </c:layout>
              <c:dLblPos val="t"/>
              <c:showVal val="1"/>
            </c:dLbl>
            <c:dLbl>
              <c:idx val="7"/>
              <c:layout>
                <c:manualLayout>
                  <c:x val="0"/>
                  <c:y val="0.16533333333333344"/>
                </c:manualLayout>
              </c:layout>
              <c:dLblPos val="t"/>
              <c:showVal val="1"/>
            </c:dLbl>
            <c:dLbl>
              <c:idx val="9"/>
              <c:layout>
                <c:manualLayout>
                  <c:x val="-6.1538461538461833E-3"/>
                  <c:y val="0.18133333333333529"/>
                </c:manualLayout>
              </c:layout>
              <c:dLblPos val="t"/>
              <c:showVal val="1"/>
            </c:dLbl>
            <c:numFmt formatCode="#,##0" sourceLinked="0"/>
            <c:txPr>
              <a:bodyPr/>
              <a:lstStyle/>
              <a:p>
                <a:pPr>
                  <a:defRPr sz="900">
                    <a:latin typeface="Times New Roman" pitchFamily="18" charset="0"/>
                    <a:cs typeface="Times New Roman" pitchFamily="18" charset="0"/>
                  </a:defRPr>
                </a:pPr>
                <a:endParaRPr lang="en-US"/>
              </a:p>
            </c:txPr>
            <c:dLblPos val="t"/>
            <c:showVal val="1"/>
          </c:dLbls>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8109</c:v>
                </c:pt>
                <c:pt idx="1">
                  <c:v>13554</c:v>
                </c:pt>
                <c:pt idx="2">
                  <c:v>16752</c:v>
                </c:pt>
                <c:pt idx="3">
                  <c:v>14721</c:v>
                </c:pt>
                <c:pt idx="4">
                  <c:v>8196</c:v>
                </c:pt>
                <c:pt idx="5">
                  <c:v>7683</c:v>
                </c:pt>
                <c:pt idx="6">
                  <c:v>9325</c:v>
                </c:pt>
                <c:pt idx="7">
                  <c:v>11548</c:v>
                </c:pt>
                <c:pt idx="8">
                  <c:v>10128</c:v>
                </c:pt>
                <c:pt idx="9">
                  <c:v>5798</c:v>
                </c:pt>
              </c:numCache>
            </c:numRef>
          </c:val>
        </c:ser>
        <c:marker val="1"/>
        <c:axId val="127971328"/>
        <c:axId val="127972864"/>
      </c:lineChart>
      <c:catAx>
        <c:axId val="127971328"/>
        <c:scaling>
          <c:orientation val="minMax"/>
        </c:scaling>
        <c:axPos val="b"/>
        <c:numFmt formatCode="General" sourceLinked="1"/>
        <c:tickLblPos val="nextTo"/>
        <c:txPr>
          <a:bodyPr/>
          <a:lstStyle/>
          <a:p>
            <a:pPr>
              <a:defRPr lang="ru-RU" sz="1000" baseline="0">
                <a:latin typeface="Times New Roman" pitchFamily="18" charset="0"/>
                <a:cs typeface="Times New Roman" pitchFamily="18" charset="0"/>
              </a:defRPr>
            </a:pPr>
            <a:endParaRPr lang="en-US"/>
          </a:p>
        </c:txPr>
        <c:crossAx val="127972864"/>
        <c:crosses val="autoZero"/>
        <c:auto val="1"/>
        <c:lblAlgn val="ctr"/>
        <c:lblOffset val="100"/>
      </c:catAx>
      <c:valAx>
        <c:axId val="127972864"/>
        <c:scaling>
          <c:orientation val="minMax"/>
          <c:max val="20000"/>
          <c:min val="0"/>
        </c:scaling>
        <c:axPos val="l"/>
        <c:numFmt formatCode="#,##0" sourceLinked="0"/>
        <c:tickLblPos val="nextTo"/>
        <c:txPr>
          <a:bodyPr/>
          <a:lstStyle/>
          <a:p>
            <a:pPr>
              <a:defRPr lang="ru-RU" sz="1000" baseline="0">
                <a:latin typeface="Times New Roman" pitchFamily="18" charset="0"/>
                <a:cs typeface="Times New Roman" pitchFamily="18" charset="0"/>
              </a:defRPr>
            </a:pPr>
            <a:endParaRPr lang="en-US"/>
          </a:p>
        </c:txPr>
        <c:crossAx val="127971328"/>
        <c:crosses val="autoZero"/>
        <c:crossBetween val="between"/>
        <c:majorUnit val="5000"/>
      </c:valAx>
    </c:plotArea>
    <c:plotVisOnly val="1"/>
    <c:dispBlanksAs val="gap"/>
  </c:chart>
  <c:spPr>
    <a:noFill/>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sz="1200">
                <a:latin typeface="AcadMtavr" pitchFamily="2" charset="0"/>
              </a:defRPr>
            </a:pPr>
            <a:r>
              <a:rPr lang="ka-GE" sz="1050" baseline="0">
                <a:latin typeface="Sylfaen" pitchFamily="18" charset="0"/>
              </a:rPr>
              <a:t>რეგისტრირებულ ქორწინებათა რიცხვი </a:t>
            </a:r>
          </a:p>
        </c:rich>
      </c:tx>
    </c:title>
    <c:plotArea>
      <c:layout>
        <c:manualLayout>
          <c:layoutTarget val="inner"/>
          <c:xMode val="edge"/>
          <c:yMode val="edge"/>
          <c:x val="8.5935484775528037E-2"/>
          <c:y val="0.16500621833608009"/>
          <c:w val="0.90192403624921091"/>
          <c:h val="0.72408581558120044"/>
        </c:manualLayout>
      </c:layout>
      <c:lineChart>
        <c:grouping val="stacked"/>
        <c:ser>
          <c:idx val="1"/>
          <c:order val="0"/>
          <c:dLbls>
            <c:dLbl>
              <c:idx val="0"/>
              <c:layout>
                <c:manualLayout>
                  <c:x val="-4.8562553204913421E-2"/>
                  <c:y val="7.2674418604651167E-2"/>
                </c:manualLayout>
              </c:layout>
              <c:showVal val="1"/>
            </c:dLbl>
            <c:dLbl>
              <c:idx val="1"/>
              <c:layout>
                <c:manualLayout>
                  <c:x val="-4.8562553204913421E-2"/>
                  <c:y val="-8.8824289405684848E-2"/>
                </c:manualLayout>
              </c:layout>
              <c:showVal val="1"/>
            </c:dLbl>
            <c:dLbl>
              <c:idx val="2"/>
              <c:layout>
                <c:manualLayout>
                  <c:x val="-4.4515673771170598E-2"/>
                  <c:y val="9.6899224806201487E-2"/>
                </c:manualLayout>
              </c:layout>
              <c:showVal val="1"/>
            </c:dLbl>
            <c:dLbl>
              <c:idx val="3"/>
              <c:layout>
                <c:manualLayout>
                  <c:x val="-4.6539113488041996E-2"/>
                  <c:y val="-8.8824289405684764E-2"/>
                </c:manualLayout>
              </c:layout>
              <c:showVal val="1"/>
            </c:dLbl>
            <c:dLbl>
              <c:idx val="4"/>
              <c:layout>
                <c:manualLayout>
                  <c:x val="-5.4632872355527905E-2"/>
                  <c:y val="8.8824289405684764E-2"/>
                </c:manualLayout>
              </c:layout>
              <c:showVal val="1"/>
            </c:dLbl>
            <c:dLbl>
              <c:idx val="5"/>
              <c:layout>
                <c:manualLayout>
                  <c:x val="-4.6539113488041996E-2"/>
                  <c:y val="-8.8824289405684764E-2"/>
                </c:manualLayout>
              </c:layout>
              <c:showVal val="1"/>
            </c:dLbl>
            <c:dLbl>
              <c:idx val="6"/>
              <c:layout>
                <c:manualLayout>
                  <c:x val="-4.8562553204913421E-2"/>
                  <c:y val="8.8824289405684764E-2"/>
                </c:manualLayout>
              </c:layout>
              <c:showVal val="1"/>
            </c:dLbl>
            <c:dLbl>
              <c:idx val="7"/>
              <c:layout>
                <c:manualLayout>
                  <c:x val="-4.0468794337428317E-2"/>
                  <c:y val="-7.6711886304909563E-2"/>
                </c:manualLayout>
              </c:layout>
              <c:showVal val="1"/>
            </c:dLbl>
            <c:dLbl>
              <c:idx val="8"/>
              <c:layout>
                <c:manualLayout>
                  <c:x val="-5.4632872355527905E-2"/>
                  <c:y val="6.8636950904392813E-2"/>
                </c:manualLayout>
              </c:layout>
              <c:showVal val="1"/>
            </c:dLbl>
            <c:dLbl>
              <c:idx val="9"/>
              <c:layout>
                <c:manualLayout>
                  <c:x val="-1.4164078018099747E-2"/>
                  <c:y val="-8.4786821705427048E-2"/>
                </c:manualLayout>
              </c:layout>
              <c:showVal val="1"/>
            </c:dLbl>
            <c:numFmt formatCode="#,##0" sourceLinked="0"/>
            <c:txPr>
              <a:bodyPr/>
              <a:lstStyle/>
              <a:p>
                <a:pPr>
                  <a:defRPr sz="900">
                    <a:latin typeface="Times New Roman" pitchFamily="18" charset="0"/>
                    <a:cs typeface="Times New Roman" pitchFamily="18" charset="0"/>
                  </a:defRPr>
                </a:pPr>
                <a:endParaRPr lang="en-US"/>
              </a:p>
            </c:txPr>
            <c:showVal val="1"/>
          </c:dLbls>
          <c:cat>
            <c:numRef>
              <c:f>Sheet1!$A$1:$J$1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Sheet1!$A$2:$J$2</c:f>
              <c:numCache>
                <c:formatCode>General</c:formatCode>
                <c:ptCount val="10"/>
                <c:pt idx="0">
                  <c:v>24891</c:v>
                </c:pt>
                <c:pt idx="1">
                  <c:v>31414</c:v>
                </c:pt>
                <c:pt idx="2">
                  <c:v>31752</c:v>
                </c:pt>
                <c:pt idx="3">
                  <c:v>34675</c:v>
                </c:pt>
                <c:pt idx="4">
                  <c:v>30863</c:v>
                </c:pt>
                <c:pt idx="5">
                  <c:v>30412</c:v>
                </c:pt>
                <c:pt idx="6">
                  <c:v>34693</c:v>
                </c:pt>
                <c:pt idx="7">
                  <c:v>31526</c:v>
                </c:pt>
                <c:pt idx="8">
                  <c:v>29157</c:v>
                </c:pt>
                <c:pt idx="9">
                  <c:v>25101</c:v>
                </c:pt>
              </c:numCache>
            </c:numRef>
          </c:val>
        </c:ser>
        <c:marker val="1"/>
        <c:axId val="128042112"/>
        <c:axId val="128043648"/>
      </c:lineChart>
      <c:catAx>
        <c:axId val="128042112"/>
        <c:scaling>
          <c:orientation val="minMax"/>
        </c:scaling>
        <c:axPos val="b"/>
        <c:numFmt formatCode="General" sourceLinked="1"/>
        <c:majorTickMark val="none"/>
        <c:tickLblPos val="nextTo"/>
        <c:txPr>
          <a:bodyPr/>
          <a:lstStyle/>
          <a:p>
            <a:pPr>
              <a:defRPr lang="ru-RU" sz="1000">
                <a:latin typeface="Times New Roman" pitchFamily="18" charset="0"/>
                <a:cs typeface="Times New Roman" pitchFamily="18" charset="0"/>
              </a:defRPr>
            </a:pPr>
            <a:endParaRPr lang="en-US"/>
          </a:p>
        </c:txPr>
        <c:crossAx val="128043648"/>
        <c:crosses val="autoZero"/>
        <c:auto val="1"/>
        <c:lblAlgn val="ctr"/>
        <c:lblOffset val="100"/>
      </c:catAx>
      <c:valAx>
        <c:axId val="128043648"/>
        <c:scaling>
          <c:orientation val="minMax"/>
        </c:scaling>
        <c:axPos val="l"/>
        <c:numFmt formatCode="#,##0" sourceLinked="0"/>
        <c:majorTickMark val="none"/>
        <c:tickLblPos val="nextTo"/>
        <c:txPr>
          <a:bodyPr/>
          <a:lstStyle/>
          <a:p>
            <a:pPr>
              <a:defRPr lang="ru-RU" sz="1000">
                <a:latin typeface="Times New Roman" pitchFamily="18" charset="0"/>
                <a:cs typeface="Times New Roman" pitchFamily="18" charset="0"/>
              </a:defRPr>
            </a:pPr>
            <a:endParaRPr lang="en-US"/>
          </a:p>
        </c:txPr>
        <c:crossAx val="128042112"/>
        <c:crosses val="autoZero"/>
        <c:crossBetween val="between"/>
        <c:majorUnit val="10000"/>
      </c:valAx>
    </c:plotArea>
    <c:plotVisOnly val="1"/>
    <c:dispBlanksAs val="zero"/>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12"/>
  <c:chart>
    <c:title>
      <c:tx>
        <c:rich>
          <a:bodyPr/>
          <a:lstStyle/>
          <a:p>
            <a:pPr>
              <a:defRPr lang="ru-RU" sz="1200">
                <a:latin typeface="AcadMtavr" pitchFamily="2" charset="0"/>
              </a:defRPr>
            </a:pPr>
            <a:r>
              <a:rPr lang="ka-GE" sz="1050" b="1" i="0" baseline="0">
                <a:latin typeface="Sylfaen" pitchFamily="18" charset="0"/>
              </a:rPr>
              <a:t>რეგისტრირებულ განქორწინებათა რიცხვი </a:t>
            </a:r>
          </a:p>
        </c:rich>
      </c:tx>
      <c:layout>
        <c:manualLayout>
          <c:xMode val="edge"/>
          <c:yMode val="edge"/>
          <c:x val="0.27221265426928032"/>
          <c:y val="0"/>
        </c:manualLayout>
      </c:layout>
    </c:title>
    <c:plotArea>
      <c:layout>
        <c:manualLayout>
          <c:layoutTarget val="inner"/>
          <c:xMode val="edge"/>
          <c:yMode val="edge"/>
          <c:x val="7.8592580182796523E-2"/>
          <c:y val="0.12497905034597979"/>
          <c:w val="0.92011317734219389"/>
          <c:h val="0.72574103445971261"/>
        </c:manualLayout>
      </c:layout>
      <c:lineChart>
        <c:grouping val="stacked"/>
        <c:ser>
          <c:idx val="0"/>
          <c:order val="0"/>
          <c:spPr>
            <a:ln w="28575">
              <a:solidFill>
                <a:srgbClr val="FF0000"/>
              </a:solidFill>
            </a:ln>
          </c:spPr>
          <c:marker>
            <c:spPr>
              <a:solidFill>
                <a:srgbClr val="FF0000"/>
              </a:solidFill>
              <a:ln>
                <a:solidFill>
                  <a:srgbClr val="FF0000"/>
                </a:solidFill>
              </a:ln>
            </c:spPr>
          </c:marker>
          <c:dLbls>
            <c:dLbl>
              <c:idx val="1"/>
              <c:layout>
                <c:manualLayout>
                  <c:x val="0"/>
                  <c:y val="0.1729193580362057"/>
                </c:manualLayout>
              </c:layout>
              <c:dLblPos val="t"/>
              <c:showVal val="1"/>
              <c:separator> </c:separator>
            </c:dLbl>
            <c:dLbl>
              <c:idx val="3"/>
              <c:layout>
                <c:manualLayout>
                  <c:x val="0"/>
                  <c:y val="0.20750322964344289"/>
                </c:manualLayout>
              </c:layout>
              <c:dLblPos val="t"/>
              <c:showVal val="1"/>
              <c:separator> </c:separator>
            </c:dLbl>
            <c:dLbl>
              <c:idx val="5"/>
              <c:layout>
                <c:manualLayout>
                  <c:x val="0"/>
                  <c:y val="0.1936696810005468"/>
                </c:manualLayout>
              </c:layout>
              <c:dLblPos val="t"/>
              <c:showVal val="1"/>
              <c:separator> </c:separator>
            </c:dLbl>
            <c:dLbl>
              <c:idx val="7"/>
              <c:layout>
                <c:manualLayout>
                  <c:x val="4.0374677002584123E-3"/>
                  <c:y val="0.23517032692923537"/>
                </c:manualLayout>
              </c:layout>
              <c:dLblPos val="t"/>
              <c:showVal val="1"/>
              <c:separator> </c:separator>
            </c:dLbl>
            <c:dLbl>
              <c:idx val="9"/>
              <c:layout>
                <c:manualLayout>
                  <c:x val="0"/>
                  <c:y val="0.207503229643443"/>
                </c:manualLayout>
              </c:layout>
              <c:dLblPos val="t"/>
              <c:showVal val="1"/>
              <c:separator> </c:separator>
            </c:dLbl>
            <c:numFmt formatCode="#,##0" sourceLinked="0"/>
            <c:txPr>
              <a:bodyPr/>
              <a:lstStyle/>
              <a:p>
                <a:pPr>
                  <a:defRPr lang="ru-RU" sz="900" baseline="0">
                    <a:latin typeface="Times New Roman" pitchFamily="18" charset="0"/>
                    <a:cs typeface="Times New Roman" pitchFamily="18" charset="0"/>
                  </a:defRPr>
                </a:pPr>
                <a:endParaRPr lang="en-US"/>
              </a:p>
            </c:txPr>
            <c:dLblPos val="t"/>
            <c:showVal val="1"/>
            <c:separator> </c:separator>
          </c:dLbls>
          <c:cat>
            <c:numRef>
              <c:f>Sheet1!$A$1:$J$1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Sheet1!$A$2:$J$2</c:f>
              <c:numCache>
                <c:formatCode>General</c:formatCode>
                <c:ptCount val="10"/>
                <c:pt idx="0">
                  <c:v>2325</c:v>
                </c:pt>
                <c:pt idx="1">
                  <c:v>3189</c:v>
                </c:pt>
                <c:pt idx="2">
                  <c:v>4030</c:v>
                </c:pt>
                <c:pt idx="3">
                  <c:v>4726</c:v>
                </c:pt>
                <c:pt idx="4">
                  <c:v>5850</c:v>
                </c:pt>
                <c:pt idx="5">
                  <c:v>7136</c:v>
                </c:pt>
                <c:pt idx="6">
                  <c:v>8089</c:v>
                </c:pt>
                <c:pt idx="7">
                  <c:v>9119</c:v>
                </c:pt>
                <c:pt idx="8">
                  <c:v>9112</c:v>
                </c:pt>
                <c:pt idx="9">
                  <c:v>9539</c:v>
                </c:pt>
              </c:numCache>
            </c:numRef>
          </c:val>
        </c:ser>
        <c:marker val="1"/>
        <c:axId val="128076032"/>
        <c:axId val="128159744"/>
      </c:lineChart>
      <c:catAx>
        <c:axId val="128076032"/>
        <c:scaling>
          <c:orientation val="minMax"/>
        </c:scaling>
        <c:axPos val="b"/>
        <c:numFmt formatCode="General" sourceLinked="1"/>
        <c:majorTickMark val="none"/>
        <c:tickLblPos val="nextTo"/>
        <c:txPr>
          <a:bodyPr/>
          <a:lstStyle/>
          <a:p>
            <a:pPr>
              <a:defRPr lang="ru-RU" sz="1000">
                <a:latin typeface="Times New Roman" pitchFamily="18" charset="0"/>
                <a:cs typeface="Times New Roman" pitchFamily="18" charset="0"/>
              </a:defRPr>
            </a:pPr>
            <a:endParaRPr lang="en-US"/>
          </a:p>
        </c:txPr>
        <c:crossAx val="128159744"/>
        <c:crosses val="autoZero"/>
        <c:auto val="1"/>
        <c:lblAlgn val="ctr"/>
        <c:lblOffset val="100"/>
      </c:catAx>
      <c:valAx>
        <c:axId val="128159744"/>
        <c:scaling>
          <c:orientation val="minMax"/>
          <c:max val="10000"/>
          <c:min val="0"/>
        </c:scaling>
        <c:axPos val="l"/>
        <c:numFmt formatCode="#,##0" sourceLinked="0"/>
        <c:majorTickMark val="none"/>
        <c:tickLblPos val="nextTo"/>
        <c:txPr>
          <a:bodyPr/>
          <a:lstStyle/>
          <a:p>
            <a:pPr>
              <a:defRPr lang="ru-RU" sz="1000">
                <a:latin typeface="Times New Roman" pitchFamily="18" charset="0"/>
                <a:cs typeface="Times New Roman" pitchFamily="18" charset="0"/>
              </a:defRPr>
            </a:pPr>
            <a:endParaRPr lang="en-US"/>
          </a:p>
        </c:txPr>
        <c:crossAx val="128076032"/>
        <c:crosses val="autoZero"/>
        <c:crossBetween val="between"/>
        <c:majorUnit val="2000"/>
        <c:minorUnit val="1000"/>
      </c:valAx>
    </c:plotArea>
    <c:plotVisOnly val="1"/>
    <c:dispBlanksAs val="zero"/>
  </c:chart>
  <c:spPr>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ka-GE" sz="1100"/>
              <a:t>უმუშევრობის</a:t>
            </a:r>
            <a:r>
              <a:rPr lang="ka-GE" sz="1100" baseline="0"/>
              <a:t> დონე საქართველოში, %</a:t>
            </a:r>
            <a:endParaRPr lang="en-US" sz="1100"/>
          </a:p>
        </c:rich>
      </c:tx>
    </c:title>
    <c:plotArea>
      <c:layout/>
      <c:lineChart>
        <c:grouping val="standard"/>
        <c:ser>
          <c:idx val="0"/>
          <c:order val="0"/>
          <c:dLbls>
            <c:txPr>
              <a:bodyPr/>
              <a:lstStyle/>
              <a:p>
                <a:pPr>
                  <a:defRPr b="1" i="0" baseline="0"/>
                </a:pPr>
                <a:endParaRPr lang="en-US"/>
              </a:p>
            </c:txPr>
            <c:dLblPos val="t"/>
            <c:showVal val="1"/>
          </c:dLbls>
          <c:cat>
            <c:numRef>
              <c:f>ძირითადი!$J$3:$S$3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ძირითადი!$J$11:$S$11</c:f>
              <c:numCache>
                <c:formatCode>0.0</c:formatCode>
                <c:ptCount val="10"/>
                <c:pt idx="0">
                  <c:v>13.577621181065448</c:v>
                </c:pt>
                <c:pt idx="1">
                  <c:v>13.27875321592186</c:v>
                </c:pt>
                <c:pt idx="2">
                  <c:v>16.468887991374427</c:v>
                </c:pt>
                <c:pt idx="3">
                  <c:v>16.850474725814184</c:v>
                </c:pt>
                <c:pt idx="4">
                  <c:v>16.291481159054552</c:v>
                </c:pt>
                <c:pt idx="5">
                  <c:v>15.061703172631269</c:v>
                </c:pt>
                <c:pt idx="6">
                  <c:v>15.034297633797483</c:v>
                </c:pt>
                <c:pt idx="7">
                  <c:v>14.5631566453975</c:v>
                </c:pt>
                <c:pt idx="8">
                  <c:v>12.352616936957318</c:v>
                </c:pt>
                <c:pt idx="9">
                  <c:v>11.950455278487389</c:v>
                </c:pt>
              </c:numCache>
            </c:numRef>
          </c:val>
        </c:ser>
        <c:marker val="1"/>
        <c:axId val="128179584"/>
        <c:axId val="128173184"/>
      </c:lineChart>
      <c:catAx>
        <c:axId val="128179584"/>
        <c:scaling>
          <c:orientation val="minMax"/>
        </c:scaling>
        <c:axPos val="b"/>
        <c:numFmt formatCode="General" sourceLinked="1"/>
        <c:tickLblPos val="nextTo"/>
        <c:crossAx val="128173184"/>
        <c:crosses val="autoZero"/>
        <c:auto val="1"/>
        <c:lblAlgn val="ctr"/>
        <c:lblOffset val="100"/>
      </c:catAx>
      <c:valAx>
        <c:axId val="128173184"/>
        <c:scaling>
          <c:orientation val="minMax"/>
          <c:max val="20"/>
        </c:scaling>
        <c:axPos val="l"/>
        <c:majorGridlines/>
        <c:numFmt formatCode="0.0" sourceLinked="1"/>
        <c:tickLblPos val="nextTo"/>
        <c:crossAx val="128179584"/>
        <c:crosses val="autoZero"/>
        <c:crossBetween val="between"/>
      </c:valAx>
    </c:plotArea>
    <c:plotVisOnly val="1"/>
    <c:dispBlanksAs val="gap"/>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ka-GE" sz="1100"/>
              <a:t>აქტიურობის და დასაქმების</a:t>
            </a:r>
            <a:r>
              <a:rPr lang="ka-GE" sz="1100" baseline="0"/>
              <a:t> დონე</a:t>
            </a:r>
            <a:endParaRPr lang="en-US" sz="1100" baseline="0"/>
          </a:p>
          <a:p>
            <a:pPr>
              <a:defRPr sz="1100"/>
            </a:pPr>
            <a:r>
              <a:rPr lang="ka-GE" sz="1100" baseline="0"/>
              <a:t>საქართველოში, %</a:t>
            </a:r>
            <a:endParaRPr lang="en-US" sz="1100"/>
          </a:p>
        </c:rich>
      </c:tx>
    </c:title>
    <c:plotArea>
      <c:layout>
        <c:manualLayout>
          <c:layoutTarget val="inner"/>
          <c:xMode val="edge"/>
          <c:yMode val="edge"/>
          <c:x val="0.11966885389326334"/>
          <c:y val="0.23936351706036746"/>
          <c:w val="0.66327559055119212"/>
          <c:h val="0.61026210265383563"/>
        </c:manualLayout>
      </c:layout>
      <c:lineChart>
        <c:grouping val="standard"/>
        <c:ser>
          <c:idx val="0"/>
          <c:order val="0"/>
          <c:tx>
            <c:v>აქტიურობის დონე</c:v>
          </c:tx>
          <c:dLbls>
            <c:numFmt formatCode="#,##0.0" sourceLinked="0"/>
            <c:txPr>
              <a:bodyPr/>
              <a:lstStyle/>
              <a:p>
                <a:pPr>
                  <a:defRPr b="1"/>
                </a:pPr>
                <a:endParaRPr lang="en-US"/>
              </a:p>
            </c:txPr>
            <c:dLblPos val="t"/>
            <c:showVal val="1"/>
          </c:dLbls>
          <c:cat>
            <c:numRef>
              <c:f>ძირითადი!$J$3:$S$3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ძირითადი!$J$12:$S$12</c:f>
              <c:numCache>
                <c:formatCode>0.0</c:formatCode>
                <c:ptCount val="10"/>
                <c:pt idx="0">
                  <c:v>62.213127757976196</c:v>
                </c:pt>
                <c:pt idx="1">
                  <c:v>63.317368075964168</c:v>
                </c:pt>
                <c:pt idx="2">
                  <c:v>62.612391041129413</c:v>
                </c:pt>
                <c:pt idx="3">
                  <c:v>63.612903536147428</c:v>
                </c:pt>
                <c:pt idx="4">
                  <c:v>64.225922254399251</c:v>
                </c:pt>
                <c:pt idx="5">
                  <c:v>65.197573109295575</c:v>
                </c:pt>
                <c:pt idx="6">
                  <c:v>66.871777649729424</c:v>
                </c:pt>
                <c:pt idx="7">
                  <c:v>66.219096274758755</c:v>
                </c:pt>
                <c:pt idx="8">
                  <c:v>66.470960078228643</c:v>
                </c:pt>
                <c:pt idx="9">
                  <c:v>67.835726095291008</c:v>
                </c:pt>
              </c:numCache>
            </c:numRef>
          </c:val>
        </c:ser>
        <c:ser>
          <c:idx val="1"/>
          <c:order val="1"/>
          <c:tx>
            <c:v>დასაქმების დონე</c:v>
          </c:tx>
          <c:marker>
            <c:symbol val="diamond"/>
            <c:size val="7"/>
          </c:marker>
          <c:dLbls>
            <c:numFmt formatCode="#,##0.0" sourceLinked="0"/>
            <c:txPr>
              <a:bodyPr/>
              <a:lstStyle/>
              <a:p>
                <a:pPr>
                  <a:defRPr b="1"/>
                </a:pPr>
                <a:endParaRPr lang="en-US"/>
              </a:p>
            </c:txPr>
            <c:dLblPos val="b"/>
            <c:showVal val="1"/>
          </c:dLbls>
          <c:cat>
            <c:numRef>
              <c:f>ძირითადი!$J$3:$S$3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ძირითადი!$J$13:$S$13</c:f>
              <c:numCache>
                <c:formatCode>0.0</c:formatCode>
                <c:ptCount val="10"/>
                <c:pt idx="0">
                  <c:v>53.766064946107313</c:v>
                </c:pt>
                <c:pt idx="1">
                  <c:v>54.909611026340094</c:v>
                </c:pt>
                <c:pt idx="2">
                  <c:v>52.300826491843239</c:v>
                </c:pt>
                <c:pt idx="3">
                  <c:v>52.893827303431486</c:v>
                </c:pt>
                <c:pt idx="4">
                  <c:v>53.762568231094662</c:v>
                </c:pt>
                <c:pt idx="5">
                  <c:v>55.377708171813488</c:v>
                </c:pt>
                <c:pt idx="6">
                  <c:v>56.818075564858397</c:v>
                </c:pt>
                <c:pt idx="7">
                  <c:v>56.575505555099234</c:v>
                </c:pt>
                <c:pt idx="8">
                  <c:v>58.260057005447344</c:v>
                </c:pt>
                <c:pt idx="9">
                  <c:v>59.733441211628474</c:v>
                </c:pt>
              </c:numCache>
            </c:numRef>
          </c:val>
        </c:ser>
        <c:marker val="1"/>
        <c:axId val="128243584"/>
        <c:axId val="128245120"/>
      </c:lineChart>
      <c:catAx>
        <c:axId val="128243584"/>
        <c:scaling>
          <c:orientation val="minMax"/>
        </c:scaling>
        <c:axPos val="b"/>
        <c:numFmt formatCode="General" sourceLinked="1"/>
        <c:tickLblPos val="nextTo"/>
        <c:crossAx val="128245120"/>
        <c:crosses val="autoZero"/>
        <c:auto val="1"/>
        <c:lblAlgn val="ctr"/>
        <c:lblOffset val="100"/>
      </c:catAx>
      <c:valAx>
        <c:axId val="128245120"/>
        <c:scaling>
          <c:orientation val="minMax"/>
          <c:max val="100"/>
        </c:scaling>
        <c:axPos val="l"/>
        <c:majorGridlines/>
        <c:numFmt formatCode="0.0" sourceLinked="1"/>
        <c:tickLblPos val="nextTo"/>
        <c:crossAx val="128243584"/>
        <c:crosses val="autoZero"/>
        <c:crossBetween val="between"/>
        <c:majorUnit val="10"/>
      </c:valAx>
    </c:plotArea>
    <c:legend>
      <c:legendPos val="r"/>
      <c:layout>
        <c:manualLayout>
          <c:xMode val="edge"/>
          <c:yMode val="edge"/>
          <c:x val="0.78016666666666656"/>
          <c:y val="0.52144757946923259"/>
          <c:w val="0.21427777777777779"/>
          <c:h val="0.23766039661708949"/>
        </c:manualLayout>
      </c:layout>
      <c:txPr>
        <a:bodyPr/>
        <a:lstStyle/>
        <a:p>
          <a:pPr>
            <a:defRPr sz="800"/>
          </a:pPr>
          <a:endParaRPr lang="en-US"/>
        </a:p>
      </c:txPr>
    </c:legend>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pPr>
            <a:r>
              <a:rPr lang="ka-GE" sz="1100"/>
              <a:t>დასაქმებულთა განაწილება, %</a:t>
            </a:r>
            <a:endParaRPr lang="en-US" sz="1100"/>
          </a:p>
        </c:rich>
      </c:tx>
    </c:title>
    <c:plotArea>
      <c:layout>
        <c:manualLayout>
          <c:layoutTarget val="inner"/>
          <c:xMode val="edge"/>
          <c:yMode val="edge"/>
          <c:x val="0.11843285214348206"/>
          <c:y val="0.16621536891221941"/>
          <c:w val="0.62191841644794565"/>
          <c:h val="0.68341025080198259"/>
        </c:manualLayout>
      </c:layout>
      <c:barChart>
        <c:barDir val="col"/>
        <c:grouping val="percentStacked"/>
        <c:ser>
          <c:idx val="0"/>
          <c:order val="0"/>
          <c:tx>
            <c:v>დაქირავებული</c:v>
          </c:tx>
          <c:dLbls>
            <c:showVal val="1"/>
          </c:dLbls>
          <c:cat>
            <c:numRef>
              <c:f>ძირითადი!$J$3:$S$3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ძირითადი!$J$22:$S$22</c:f>
              <c:numCache>
                <c:formatCode>0.0</c:formatCode>
                <c:ptCount val="10"/>
                <c:pt idx="0">
                  <c:v>34.594969498883124</c:v>
                </c:pt>
                <c:pt idx="1">
                  <c:v>36.697034334929221</c:v>
                </c:pt>
                <c:pt idx="2">
                  <c:v>35.754115487203585</c:v>
                </c:pt>
                <c:pt idx="3">
                  <c:v>36.011696696484044</c:v>
                </c:pt>
                <c:pt idx="4">
                  <c:v>38.049421214314243</c:v>
                </c:pt>
                <c:pt idx="5">
                  <c:v>38.129855155063716</c:v>
                </c:pt>
                <c:pt idx="6">
                  <c:v>38.599571458110546</c:v>
                </c:pt>
                <c:pt idx="7">
                  <c:v>38.672023269117858</c:v>
                </c:pt>
                <c:pt idx="8">
                  <c:v>39.821880176731746</c:v>
                </c:pt>
                <c:pt idx="9">
                  <c:v>42.530503693233101</c:v>
                </c:pt>
              </c:numCache>
            </c:numRef>
          </c:val>
        </c:ser>
        <c:ser>
          <c:idx val="1"/>
          <c:order val="1"/>
          <c:tx>
            <c:v>თვითდასაქმებული</c:v>
          </c:tx>
          <c:dLbls>
            <c:showVal val="1"/>
          </c:dLbls>
          <c:cat>
            <c:numRef>
              <c:f>ძირითადი!$H$3:$S$3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ძირითადი!$J$23:$S$23</c:f>
              <c:numCache>
                <c:formatCode>0.0</c:formatCode>
                <c:ptCount val="10"/>
                <c:pt idx="0">
                  <c:v>65.405030501116869</c:v>
                </c:pt>
                <c:pt idx="1">
                  <c:v>63.302965665070957</c:v>
                </c:pt>
                <c:pt idx="2">
                  <c:v>64.245884512795968</c:v>
                </c:pt>
                <c:pt idx="3">
                  <c:v>63.988303303515913</c:v>
                </c:pt>
                <c:pt idx="4">
                  <c:v>61.950578785685565</c:v>
                </c:pt>
                <c:pt idx="5">
                  <c:v>61.870144844936284</c:v>
                </c:pt>
                <c:pt idx="6">
                  <c:v>61.400428541889454</c:v>
                </c:pt>
                <c:pt idx="7">
                  <c:v>61.327976730882128</c:v>
                </c:pt>
                <c:pt idx="8">
                  <c:v>60.178119823268261</c:v>
                </c:pt>
                <c:pt idx="9">
                  <c:v>57.469496306766807</c:v>
                </c:pt>
              </c:numCache>
            </c:numRef>
          </c:val>
        </c:ser>
        <c:gapWidth val="50"/>
        <c:overlap val="100"/>
        <c:axId val="128271104"/>
        <c:axId val="128272640"/>
      </c:barChart>
      <c:catAx>
        <c:axId val="128271104"/>
        <c:scaling>
          <c:orientation val="minMax"/>
        </c:scaling>
        <c:axPos val="b"/>
        <c:numFmt formatCode="General" sourceLinked="1"/>
        <c:tickLblPos val="nextTo"/>
        <c:crossAx val="128272640"/>
        <c:crosses val="autoZero"/>
        <c:auto val="1"/>
        <c:lblAlgn val="ctr"/>
        <c:lblOffset val="100"/>
      </c:catAx>
      <c:valAx>
        <c:axId val="128272640"/>
        <c:scaling>
          <c:orientation val="minMax"/>
        </c:scaling>
        <c:axPos val="l"/>
        <c:majorGridlines/>
        <c:numFmt formatCode="0%" sourceLinked="1"/>
        <c:tickLblPos val="nextTo"/>
        <c:crossAx val="128271104"/>
        <c:crosses val="autoZero"/>
        <c:crossBetween val="between"/>
      </c:valAx>
    </c:plotArea>
    <c:legend>
      <c:legendPos val="r"/>
      <c:layout>
        <c:manualLayout>
          <c:xMode val="edge"/>
          <c:yMode val="edge"/>
          <c:x val="0.74775415573053372"/>
          <c:y val="0.4848735053951625"/>
          <c:w val="0.23557917760279964"/>
          <c:h val="0.22840113735783169"/>
        </c:manualLayout>
      </c:layout>
      <c:txPr>
        <a:bodyPr/>
        <a:lstStyle/>
        <a:p>
          <a:pPr>
            <a:defRPr sz="800"/>
          </a:pPr>
          <a:endParaRPr lang="en-US"/>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pPr>
            <a:r>
              <a:rPr lang="ka-GE" sz="1000"/>
              <a:t>მთლიანი შიდა პროდუქტი ერთ სულზე</a:t>
            </a:r>
            <a:endParaRPr lang="en-US" sz="1000"/>
          </a:p>
        </c:rich>
      </c:tx>
    </c:title>
    <c:plotArea>
      <c:layout>
        <c:manualLayout>
          <c:layoutTarget val="inner"/>
          <c:xMode val="edge"/>
          <c:yMode val="edge"/>
          <c:x val="7.2335629838140014E-2"/>
          <c:y val="0.15403947625009654"/>
          <c:w val="0.91289846897011262"/>
          <c:h val="0.58409120734908626"/>
        </c:manualLayout>
      </c:layout>
      <c:barChart>
        <c:barDir val="col"/>
        <c:grouping val="clustered"/>
        <c:ser>
          <c:idx val="0"/>
          <c:order val="0"/>
          <c:tx>
            <c:strRef>
              <c:f>'graf cliuri ert sulze'!$A$7</c:f>
              <c:strCache>
                <c:ptCount val="1"/>
                <c:pt idx="0">
                  <c:v>მშპ ერთ სულზე, ლარი</c:v>
                </c:pt>
              </c:strCache>
            </c:strRef>
          </c:tx>
          <c:dLbls>
            <c:numFmt formatCode="#,##0.0" sourceLinked="0"/>
            <c:showVal val="1"/>
          </c:dLbls>
          <c:cat>
            <c:strRef>
              <c:f>'graf cliuri ert sulze'!$B$6:$L$6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'graf cliuri ert sulze'!$B$7:$L$7</c:f>
              <c:numCache>
                <c:formatCode>#,##0.0</c:formatCode>
                <c:ptCount val="11"/>
                <c:pt idx="0">
                  <c:v>3133.1454838832501</c:v>
                </c:pt>
                <c:pt idx="1">
                  <c:v>3866.8802852805716</c:v>
                </c:pt>
                <c:pt idx="2">
                  <c:v>4352.9021025603233</c:v>
                </c:pt>
                <c:pt idx="3">
                  <c:v>4101.3258984701224</c:v>
                </c:pt>
                <c:pt idx="4">
                  <c:v>4675.7200092061694</c:v>
                </c:pt>
                <c:pt idx="5">
                  <c:v>5447.0568744886887</c:v>
                </c:pt>
                <c:pt idx="6">
                  <c:v>5818.0548522002073</c:v>
                </c:pt>
                <c:pt idx="7">
                  <c:v>5987.6342051507854</c:v>
                </c:pt>
                <c:pt idx="8">
                  <c:v>6491.589199911682</c:v>
                </c:pt>
                <c:pt idx="9">
                  <c:v>8550.9210853507775</c:v>
                </c:pt>
                <c:pt idx="10">
                  <c:v>9117.736627414477</c:v>
                </c:pt>
              </c:numCache>
            </c:numRef>
          </c:val>
        </c:ser>
        <c:ser>
          <c:idx val="1"/>
          <c:order val="1"/>
          <c:tx>
            <c:strRef>
              <c:f>'graf cliuri ert sulze'!$A$8</c:f>
              <c:strCache>
                <c:ptCount val="1"/>
                <c:pt idx="0">
                  <c:v>მშპ ერთ სულზე, აშშ დოლარი</c:v>
                </c:pt>
              </c:strCache>
            </c:strRef>
          </c:tx>
          <c:dLbls>
            <c:dLbl>
              <c:idx val="0"/>
              <c:layout>
                <c:manualLayout>
                  <c:x val="6.9444444444444909E-3"/>
                  <c:y val="4.4865798272066314E-3"/>
                </c:manualLayout>
              </c:layout>
              <c:showVal val="1"/>
            </c:dLbl>
            <c:dLbl>
              <c:idx val="1"/>
              <c:layout>
                <c:manualLayout>
                  <c:x val="8.6805555555555768E-3"/>
                  <c:y val="0"/>
                </c:manualLayout>
              </c:layout>
              <c:showVal val="1"/>
            </c:dLbl>
            <c:dLbl>
              <c:idx val="2"/>
              <c:layout>
                <c:manualLayout>
                  <c:x val="5.2083333333333998E-3"/>
                  <c:y val="0"/>
                </c:manualLayout>
              </c:layout>
              <c:showVal val="1"/>
            </c:dLbl>
            <c:dLbl>
              <c:idx val="3"/>
              <c:layout>
                <c:manualLayout>
                  <c:x val="3.4722222222222242E-3"/>
                  <c:y val="0"/>
                </c:manualLayout>
              </c:layout>
              <c:showVal val="1"/>
            </c:dLbl>
            <c:dLbl>
              <c:idx val="4"/>
              <c:layout>
                <c:manualLayout>
                  <c:x val="1.7361111111111236E-3"/>
                  <c:y val="0"/>
                </c:manualLayout>
              </c:layout>
              <c:showVal val="1"/>
            </c:dLbl>
            <c:dLbl>
              <c:idx val="5"/>
              <c:layout>
                <c:manualLayout>
                  <c:x val="5.2083333333333998E-3"/>
                  <c:y val="0"/>
                </c:manualLayout>
              </c:layout>
              <c:showVal val="1"/>
            </c:dLbl>
            <c:dLbl>
              <c:idx val="6"/>
              <c:layout>
                <c:manualLayout>
                  <c:x val="5.2083333333333998E-3"/>
                  <c:y val="0"/>
                </c:manualLayout>
              </c:layout>
              <c:showVal val="1"/>
            </c:dLbl>
            <c:dLbl>
              <c:idx val="7"/>
              <c:layout>
                <c:manualLayout>
                  <c:x val="5.2083333333333998E-3"/>
                  <c:y val="0"/>
                </c:manualLayout>
              </c:layout>
              <c:showVal val="1"/>
            </c:dLbl>
            <c:dLbl>
              <c:idx val="8"/>
              <c:layout>
                <c:manualLayout>
                  <c:x val="5.2083333333333998E-3"/>
                  <c:y val="0"/>
                </c:manualLayout>
              </c:layout>
              <c:showVal val="1"/>
            </c:dLbl>
            <c:dLbl>
              <c:idx val="9"/>
              <c:layout>
                <c:manualLayout>
                  <c:x val="5.2083333333333998E-3"/>
                  <c:y val="0"/>
                </c:manualLayout>
              </c:layout>
              <c:showVal val="1"/>
            </c:dLbl>
            <c:dLbl>
              <c:idx val="10"/>
              <c:layout>
                <c:manualLayout>
                  <c:x val="6.9444444444444909E-3"/>
                  <c:y val="0"/>
                </c:manualLayout>
              </c:layout>
              <c:showVal val="1"/>
            </c:dLbl>
            <c:showVal val="1"/>
          </c:dLbls>
          <c:cat>
            <c:strRef>
              <c:f>'graf cliuri ert sulze'!$B$6:$L$6</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'graf cliuri ert sulze'!$B$8:$L$8</c:f>
              <c:numCache>
                <c:formatCode>#,##0.0</c:formatCode>
                <c:ptCount val="11"/>
                <c:pt idx="0">
                  <c:v>1763.5065403644971</c:v>
                </c:pt>
                <c:pt idx="1">
                  <c:v>2314.5875569180712</c:v>
                </c:pt>
                <c:pt idx="2">
                  <c:v>2921.0974595114662</c:v>
                </c:pt>
                <c:pt idx="3">
                  <c:v>2455.2046741910694</c:v>
                </c:pt>
                <c:pt idx="4">
                  <c:v>2622.9635686641486</c:v>
                </c:pt>
                <c:pt idx="5">
                  <c:v>3230.6749176817075</c:v>
                </c:pt>
                <c:pt idx="6">
                  <c:v>3523.3995197997092</c:v>
                </c:pt>
                <c:pt idx="7">
                  <c:v>3599.596679423616</c:v>
                </c:pt>
                <c:pt idx="8">
                  <c:v>3676.1692766006136</c:v>
                </c:pt>
                <c:pt idx="9">
                  <c:v>3766.6287312737682</c:v>
                </c:pt>
                <c:pt idx="10">
                  <c:v>3852.4842711479887</c:v>
                </c:pt>
              </c:numCache>
            </c:numRef>
          </c:val>
        </c:ser>
        <c:gapWidth val="75"/>
        <c:overlap val="-25"/>
        <c:axId val="126242816"/>
        <c:axId val="126244352"/>
      </c:barChart>
      <c:catAx>
        <c:axId val="126242816"/>
        <c:scaling>
          <c:orientation val="minMax"/>
        </c:scaling>
        <c:axPos val="b"/>
        <c:numFmt formatCode="General" sourceLinked="1"/>
        <c:majorTickMark val="none"/>
        <c:tickLblPos val="nextTo"/>
        <c:crossAx val="126244352"/>
        <c:crosses val="autoZero"/>
        <c:auto val="1"/>
        <c:lblAlgn val="ctr"/>
        <c:lblOffset val="100"/>
      </c:catAx>
      <c:valAx>
        <c:axId val="126244352"/>
        <c:scaling>
          <c:orientation val="minMax"/>
        </c:scaling>
        <c:axPos val="l"/>
        <c:numFmt formatCode="0" sourceLinked="0"/>
        <c:majorTickMark val="none"/>
        <c:tickLblPos val="nextTo"/>
        <c:spPr>
          <a:ln w="9525">
            <a:noFill/>
          </a:ln>
        </c:spPr>
        <c:crossAx val="126242816"/>
        <c:crosses val="autoZero"/>
        <c:crossBetween val="between"/>
      </c:valAx>
    </c:plotArea>
    <c:legend>
      <c:legendPos val="b"/>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a:pPr>
            <a:r>
              <a:rPr lang="ka-GE" sz="1100" b="1"/>
              <a:t>უმუშევრობის დონე ქალაქ-სოფლის ჭრილში, %</a:t>
            </a:r>
            <a:endParaRPr lang="en-US" sz="1100" b="1"/>
          </a:p>
        </c:rich>
      </c:tx>
    </c:title>
    <c:plotArea>
      <c:layout>
        <c:manualLayout>
          <c:layoutTarget val="inner"/>
          <c:xMode val="edge"/>
          <c:yMode val="edge"/>
          <c:x val="0.10558573928259039"/>
          <c:y val="0.16621536891221941"/>
          <c:w val="0.69520581802274761"/>
          <c:h val="0.68341025080198259"/>
        </c:manualLayout>
      </c:layout>
      <c:lineChart>
        <c:grouping val="standard"/>
        <c:ser>
          <c:idx val="0"/>
          <c:order val="0"/>
          <c:tx>
            <c:v>ქალაქი</c:v>
          </c:tx>
          <c:dLbls>
            <c:numFmt formatCode="#,##0.0" sourceLinked="0"/>
            <c:txPr>
              <a:bodyPr/>
              <a:lstStyle/>
              <a:p>
                <a:pPr>
                  <a:defRPr sz="1000" b="1" i="0" u="none" strike="noStrike" baseline="0">
                    <a:solidFill>
                      <a:srgbClr val="000000"/>
                    </a:solidFill>
                    <a:latin typeface="Calibri"/>
                    <a:ea typeface="Calibri"/>
                    <a:cs typeface="Calibri"/>
                  </a:defRPr>
                </a:pPr>
                <a:endParaRPr lang="en-US"/>
              </a:p>
            </c:txPr>
            <c:dLblPos val="t"/>
            <c:showVal val="1"/>
          </c:dLbls>
          <c:cat>
            <c:numRef>
              <c:f>'ქალაქ-სოფელი'!$J$3:$S$3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'ქალაქ-სოფელი'!$J$11:$S$11</c:f>
              <c:numCache>
                <c:formatCode>#,##0.0</c:formatCode>
                <c:ptCount val="10"/>
                <c:pt idx="0">
                  <c:v>26.061453172717471</c:v>
                </c:pt>
                <c:pt idx="1">
                  <c:v>23.916435692657434</c:v>
                </c:pt>
                <c:pt idx="2">
                  <c:v>28.853463304961924</c:v>
                </c:pt>
                <c:pt idx="3">
                  <c:v>28.819326076071466</c:v>
                </c:pt>
                <c:pt idx="4">
                  <c:v>27.197047937782383</c:v>
                </c:pt>
                <c:pt idx="5">
                  <c:v>26.452766024236446</c:v>
                </c:pt>
                <c:pt idx="6">
                  <c:v>26.237104905972171</c:v>
                </c:pt>
                <c:pt idx="7">
                  <c:v>25.605631870208587</c:v>
                </c:pt>
                <c:pt idx="8">
                  <c:v>22.137240262684458</c:v>
                </c:pt>
                <c:pt idx="9">
                  <c:v>21.472258579786889</c:v>
                </c:pt>
              </c:numCache>
            </c:numRef>
          </c:val>
        </c:ser>
        <c:ser>
          <c:idx val="1"/>
          <c:order val="1"/>
          <c:tx>
            <c:v>სოფელი</c:v>
          </c:tx>
          <c:marker>
            <c:symbol val="diamond"/>
            <c:size val="7"/>
          </c:marker>
          <c:dLbls>
            <c:numFmt formatCode="#,##0.0" sourceLinked="0"/>
            <c:txPr>
              <a:bodyPr/>
              <a:lstStyle/>
              <a:p>
                <a:pPr>
                  <a:defRPr sz="1000" b="1" i="0" u="none" strike="noStrike" baseline="0">
                    <a:solidFill>
                      <a:srgbClr val="000000"/>
                    </a:solidFill>
                    <a:latin typeface="Calibri"/>
                    <a:ea typeface="Calibri"/>
                    <a:cs typeface="Calibri"/>
                  </a:defRPr>
                </a:pPr>
                <a:endParaRPr lang="en-US"/>
              </a:p>
            </c:txPr>
            <c:dLblPos val="t"/>
            <c:showVal val="1"/>
          </c:dLbls>
          <c:cat>
            <c:numRef>
              <c:f>'ქალაქ-სოფელი'!$J$3:$S$3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'ქალაქ-სოფელი'!$J$27:$S$27</c:f>
              <c:numCache>
                <c:formatCode>#,##0.0</c:formatCode>
                <c:ptCount val="10"/>
                <c:pt idx="0">
                  <c:v>4.8488351922813884</c:v>
                </c:pt>
                <c:pt idx="1">
                  <c:v>5.3512806329096518</c:v>
                </c:pt>
                <c:pt idx="2">
                  <c:v>7.0547361968963145</c:v>
                </c:pt>
                <c:pt idx="3">
                  <c:v>7.8117549456068369</c:v>
                </c:pt>
                <c:pt idx="4">
                  <c:v>7.8643113864388363</c:v>
                </c:pt>
                <c:pt idx="5">
                  <c:v>6.5219849591720633</c:v>
                </c:pt>
                <c:pt idx="6">
                  <c:v>7.0350866864820674</c:v>
                </c:pt>
                <c:pt idx="7">
                  <c:v>6.4542036278439925</c:v>
                </c:pt>
                <c:pt idx="8">
                  <c:v>5.3925765136597352</c:v>
                </c:pt>
                <c:pt idx="9">
                  <c:v>4.8173006232464868</c:v>
                </c:pt>
              </c:numCache>
            </c:numRef>
          </c:val>
        </c:ser>
        <c:marker val="1"/>
        <c:axId val="128286080"/>
        <c:axId val="128304256"/>
      </c:lineChart>
      <c:catAx>
        <c:axId val="12828608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8304256"/>
        <c:crosses val="autoZero"/>
        <c:auto val="1"/>
        <c:lblAlgn val="ctr"/>
        <c:lblOffset val="100"/>
      </c:catAx>
      <c:valAx>
        <c:axId val="128304256"/>
        <c:scaling>
          <c:orientation val="minMax"/>
        </c:scaling>
        <c:axPos val="l"/>
        <c:majorGridlines/>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828608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ka-GE" sz="1050" b="1"/>
              <a:t>უმუშევრობის</a:t>
            </a:r>
            <a:r>
              <a:rPr lang="ka-GE" sz="1050" b="1" baseline="0"/>
              <a:t> დონის ცვლილება 201</a:t>
            </a:r>
            <a:r>
              <a:rPr lang="en-US" sz="1050" b="1" baseline="0"/>
              <a:t>5</a:t>
            </a:r>
            <a:r>
              <a:rPr lang="ka-GE" sz="1050" b="1" baseline="0"/>
              <a:t> წელს 20</a:t>
            </a:r>
            <a:r>
              <a:rPr lang="en-US" sz="1050" b="1" baseline="0"/>
              <a:t>14</a:t>
            </a:r>
            <a:r>
              <a:rPr lang="ka-GE" sz="1050" b="1" baseline="0"/>
              <a:t> წელთან მიმართებაში, პროცენტული პუნქტი</a:t>
            </a:r>
            <a:endParaRPr lang="en-US" sz="1050" b="1"/>
          </a:p>
        </c:rich>
      </c:tx>
    </c:title>
    <c:plotArea>
      <c:layout/>
      <c:barChart>
        <c:barDir val="bar"/>
        <c:grouping val="clustered"/>
        <c:ser>
          <c:idx val="0"/>
          <c:order val="0"/>
          <c:dLbls>
            <c:dLbl>
              <c:idx val="4"/>
              <c:layout>
                <c:manualLayout>
                  <c:x val="-1.6666447944007182E-2"/>
                  <c:y val="4.6296296296296745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en-US"/>
              </a:p>
            </c:txPr>
            <c:showVal val="1"/>
          </c:dLbls>
          <c:cat>
            <c:strRef>
              <c:f>Sheet1_Geo!$B$18:$J$18</c:f>
              <c:strCache>
                <c:ptCount val="9"/>
                <c:pt idx="0">
                  <c:v>დანარჩენი რეგიონები*</c:v>
                </c:pt>
                <c:pt idx="1">
                  <c:v>კახეთი</c:v>
                </c:pt>
                <c:pt idx="2">
                  <c:v>თბილისი</c:v>
                </c:pt>
                <c:pt idx="3">
                  <c:v>შიდა ქართლი</c:v>
                </c:pt>
                <c:pt idx="4">
                  <c:v>ქვემო ქართლი</c:v>
                </c:pt>
                <c:pt idx="5">
                  <c:v>აჭარის ა. რ.</c:v>
                </c:pt>
                <c:pt idx="6">
                  <c:v>სამეგრელო-ზემო სვანეთი</c:v>
                </c:pt>
                <c:pt idx="7">
                  <c:v>იმერეთი</c:v>
                </c:pt>
                <c:pt idx="8">
                  <c:v>საქართველო</c:v>
                </c:pt>
              </c:strCache>
            </c:strRef>
          </c:cat>
          <c:val>
            <c:numRef>
              <c:f>Sheet1_Geo!$B$38:$J$38</c:f>
              <c:numCache>
                <c:formatCode>0.0</c:formatCode>
                <c:ptCount val="9"/>
                <c:pt idx="0">
                  <c:v>-0.40000000000000008</c:v>
                </c:pt>
                <c:pt idx="1">
                  <c:v>0.70000000000000062</c:v>
                </c:pt>
                <c:pt idx="2">
                  <c:v>-1.1000000000000021</c:v>
                </c:pt>
                <c:pt idx="3">
                  <c:v>0.80000000000000071</c:v>
                </c:pt>
                <c:pt idx="4">
                  <c:v>-0.10000000000000003</c:v>
                </c:pt>
                <c:pt idx="5">
                  <c:v>-0.70000000000000162</c:v>
                </c:pt>
                <c:pt idx="6">
                  <c:v>-0.90000000000000069</c:v>
                </c:pt>
                <c:pt idx="7">
                  <c:v>-1.299999999999994</c:v>
                </c:pt>
                <c:pt idx="8">
                  <c:v>-0.40000000000000036</c:v>
                </c:pt>
              </c:numCache>
            </c:numRef>
          </c:val>
        </c:ser>
        <c:gapWidth val="50"/>
        <c:axId val="128332928"/>
        <c:axId val="128334464"/>
      </c:barChart>
      <c:catAx>
        <c:axId val="128332928"/>
        <c:scaling>
          <c:orientation val="minMax"/>
        </c:scaling>
        <c:axPos val="l"/>
        <c:numFmt formatCode="General" sourceLinked="1"/>
        <c:tickLblPos val="low"/>
        <c:txPr>
          <a:bodyPr rot="0" vert="horz"/>
          <a:lstStyle/>
          <a:p>
            <a:pPr>
              <a:defRPr sz="1000" b="0" i="0" u="none" strike="noStrike" baseline="0">
                <a:solidFill>
                  <a:srgbClr val="000000"/>
                </a:solidFill>
                <a:latin typeface="Calibri"/>
                <a:ea typeface="Calibri"/>
                <a:cs typeface="Calibri"/>
              </a:defRPr>
            </a:pPr>
            <a:endParaRPr lang="en-US"/>
          </a:p>
        </c:txPr>
        <c:crossAx val="128334464"/>
        <c:crosses val="autoZero"/>
        <c:auto val="1"/>
        <c:lblAlgn val="ctr"/>
        <c:lblOffset val="100"/>
      </c:catAx>
      <c:valAx>
        <c:axId val="128334464"/>
        <c:scaling>
          <c:orientation val="minMax"/>
        </c:scaling>
        <c:axPos val="b"/>
        <c:majorGridlines/>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8332928"/>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ka-GE" sz="1050"/>
              <a:t>უმუშევრობის დონე სქესობრივ ჭრილში, %</a:t>
            </a:r>
          </a:p>
        </c:rich>
      </c:tx>
      <c:layout>
        <c:manualLayout>
          <c:xMode val="edge"/>
          <c:yMode val="edge"/>
          <c:x val="0.18239588801399897"/>
          <c:y val="2.7777777777778064E-2"/>
        </c:manualLayout>
      </c:layout>
    </c:title>
    <c:plotArea>
      <c:layout>
        <c:manualLayout>
          <c:layoutTarget val="inner"/>
          <c:xMode val="edge"/>
          <c:yMode val="edge"/>
          <c:x val="0.10558573928259028"/>
          <c:y val="0.16621536891221941"/>
          <c:w val="0.72234470691163599"/>
          <c:h val="0.68341025080198259"/>
        </c:manualLayout>
      </c:layout>
      <c:lineChart>
        <c:grouping val="standard"/>
        <c:ser>
          <c:idx val="0"/>
          <c:order val="0"/>
          <c:tx>
            <c:v>ქალი</c:v>
          </c:tx>
          <c:dLbls>
            <c:numFmt formatCode="#,##0.0" sourceLinked="0"/>
            <c:txPr>
              <a:bodyPr/>
              <a:lstStyle/>
              <a:p>
                <a:pPr>
                  <a:defRPr b="1"/>
                </a:pPr>
                <a:endParaRPr lang="en-US"/>
              </a:p>
            </c:txPr>
            <c:dLblPos val="b"/>
            <c:showVal val="1"/>
          </c:dLbls>
          <c:cat>
            <c:numRef>
              <c:f>Sheet1!$J$3:$S$3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Sheet1!$J$11:$S$11</c:f>
              <c:numCache>
                <c:formatCode>0.0</c:formatCode>
                <c:ptCount val="10"/>
                <c:pt idx="0">
                  <c:v>11.659104747246102</c:v>
                </c:pt>
                <c:pt idx="1">
                  <c:v>12.5668419702984</c:v>
                </c:pt>
                <c:pt idx="2">
                  <c:v>16.119048417513991</c:v>
                </c:pt>
                <c:pt idx="3">
                  <c:v>15.416223956559183</c:v>
                </c:pt>
                <c:pt idx="4">
                  <c:v>14.453210833852946</c:v>
                </c:pt>
                <c:pt idx="5">
                  <c:v>13.139992304835078</c:v>
                </c:pt>
                <c:pt idx="6">
                  <c:v>13.803608440220851</c:v>
                </c:pt>
                <c:pt idx="7">
                  <c:v>12.325418415920309</c:v>
                </c:pt>
                <c:pt idx="8">
                  <c:v>10.445680375197618</c:v>
                </c:pt>
                <c:pt idx="9">
                  <c:v>10.199029139745829</c:v>
                </c:pt>
              </c:numCache>
            </c:numRef>
          </c:val>
        </c:ser>
        <c:ser>
          <c:idx val="1"/>
          <c:order val="1"/>
          <c:tx>
            <c:v>კაცი</c:v>
          </c:tx>
          <c:marker>
            <c:symbol val="diamond"/>
            <c:size val="7"/>
          </c:marker>
          <c:dLbls>
            <c:numFmt formatCode="#,##0.0" sourceLinked="0"/>
            <c:txPr>
              <a:bodyPr/>
              <a:lstStyle/>
              <a:p>
                <a:pPr>
                  <a:defRPr b="1"/>
                </a:pPr>
                <a:endParaRPr lang="en-US"/>
              </a:p>
            </c:txPr>
            <c:dLblPos val="t"/>
            <c:showVal val="1"/>
          </c:dLbls>
          <c:cat>
            <c:numRef>
              <c:f>Sheet1!$J$3:$S$3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Sheet1!$J$27:$S$27</c:f>
              <c:numCache>
                <c:formatCode>0.0</c:formatCode>
                <c:ptCount val="10"/>
                <c:pt idx="0">
                  <c:v>15.231527871905461</c:v>
                </c:pt>
                <c:pt idx="1">
                  <c:v>13.922859587787126</c:v>
                </c:pt>
                <c:pt idx="2">
                  <c:v>16.771662350024606</c:v>
                </c:pt>
                <c:pt idx="3">
                  <c:v>18.082787935903525</c:v>
                </c:pt>
                <c:pt idx="4">
                  <c:v>17.900774308697287</c:v>
                </c:pt>
                <c:pt idx="5">
                  <c:v>16.747715485541427</c:v>
                </c:pt>
                <c:pt idx="6">
                  <c:v>16.112818850819831</c:v>
                </c:pt>
                <c:pt idx="7">
                  <c:v>16.483230159328375</c:v>
                </c:pt>
                <c:pt idx="8">
                  <c:v>13.989381964303519</c:v>
                </c:pt>
                <c:pt idx="9">
                  <c:v>13.450313334639366</c:v>
                </c:pt>
              </c:numCache>
            </c:numRef>
          </c:val>
        </c:ser>
        <c:marker val="1"/>
        <c:axId val="128363904"/>
        <c:axId val="128377984"/>
      </c:lineChart>
      <c:catAx>
        <c:axId val="128363904"/>
        <c:scaling>
          <c:orientation val="minMax"/>
        </c:scaling>
        <c:axPos val="b"/>
        <c:numFmt formatCode="General" sourceLinked="1"/>
        <c:tickLblPos val="nextTo"/>
        <c:crossAx val="128377984"/>
        <c:crosses val="autoZero"/>
        <c:auto val="1"/>
        <c:lblAlgn val="ctr"/>
        <c:lblOffset val="100"/>
      </c:catAx>
      <c:valAx>
        <c:axId val="128377984"/>
        <c:scaling>
          <c:orientation val="minMax"/>
        </c:scaling>
        <c:axPos val="l"/>
        <c:majorGridlines/>
        <c:numFmt formatCode="0.0" sourceLinked="1"/>
        <c:tickLblPos val="nextTo"/>
        <c:crossAx val="128363904"/>
        <c:crosses val="autoZero"/>
        <c:crossBetween val="between"/>
      </c:valAx>
    </c:plotArea>
    <c:legend>
      <c:legendPos val="r"/>
    </c:legend>
    <c:plotVisOnly val="1"/>
    <c:dispBlanksAs val="gap"/>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ka-GE" sz="1050"/>
              <a:t>აქტიურობის დონე სქესობრივ ჭრილში, %</a:t>
            </a:r>
          </a:p>
        </c:rich>
      </c:tx>
    </c:title>
    <c:plotArea>
      <c:layout>
        <c:manualLayout>
          <c:layoutTarget val="inner"/>
          <c:xMode val="edge"/>
          <c:yMode val="edge"/>
          <c:x val="0.10669694709214039"/>
          <c:y val="0.16621536891221941"/>
          <c:w val="0.7194222406409726"/>
          <c:h val="0.68341025080198259"/>
        </c:manualLayout>
      </c:layout>
      <c:lineChart>
        <c:grouping val="standard"/>
        <c:ser>
          <c:idx val="0"/>
          <c:order val="0"/>
          <c:tx>
            <c:v>ქალი</c:v>
          </c:tx>
          <c:dLbls>
            <c:numFmt formatCode="#,##0.0" sourceLinked="0"/>
            <c:txPr>
              <a:bodyPr/>
              <a:lstStyle/>
              <a:p>
                <a:pPr>
                  <a:defRPr b="1"/>
                </a:pPr>
                <a:endParaRPr lang="en-US"/>
              </a:p>
            </c:txPr>
            <c:dLblPos val="b"/>
            <c:showVal val="1"/>
          </c:dLbls>
          <c:cat>
            <c:numRef>
              <c:f>Sheet1!$J$3:$S$3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Sheet1!$J$12:$S$12</c:f>
              <c:numCache>
                <c:formatCode>0.0</c:formatCode>
                <c:ptCount val="10"/>
                <c:pt idx="0">
                  <c:v>53.641052565402404</c:v>
                </c:pt>
                <c:pt idx="1">
                  <c:v>55.003939178947867</c:v>
                </c:pt>
                <c:pt idx="2">
                  <c:v>53.512146169503595</c:v>
                </c:pt>
                <c:pt idx="3">
                  <c:v>54.310189165078725</c:v>
                </c:pt>
                <c:pt idx="4">
                  <c:v>55.495882844168399</c:v>
                </c:pt>
                <c:pt idx="5">
                  <c:v>55.801459625950415</c:v>
                </c:pt>
                <c:pt idx="6">
                  <c:v>57.398240127278903</c:v>
                </c:pt>
                <c:pt idx="7">
                  <c:v>56.753358221991469</c:v>
                </c:pt>
                <c:pt idx="8">
                  <c:v>57.080045861392705</c:v>
                </c:pt>
                <c:pt idx="9">
                  <c:v>58.904963883332435</c:v>
                </c:pt>
              </c:numCache>
            </c:numRef>
          </c:val>
        </c:ser>
        <c:ser>
          <c:idx val="1"/>
          <c:order val="1"/>
          <c:tx>
            <c:v>კაცი</c:v>
          </c:tx>
          <c:marker>
            <c:symbol val="diamond"/>
            <c:size val="7"/>
          </c:marker>
          <c:dLbls>
            <c:numFmt formatCode="#,##0.0" sourceLinked="0"/>
            <c:txPr>
              <a:bodyPr/>
              <a:lstStyle/>
              <a:p>
                <a:pPr>
                  <a:defRPr b="1"/>
                </a:pPr>
                <a:endParaRPr lang="en-US"/>
              </a:p>
            </c:txPr>
            <c:dLblPos val="t"/>
            <c:showVal val="1"/>
          </c:dLbls>
          <c:cat>
            <c:numRef>
              <c:f>Sheet1!$J$3:$S$3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Sheet1!$J$28:$S$28</c:f>
              <c:numCache>
                <c:formatCode>0.0</c:formatCode>
                <c:ptCount val="10"/>
                <c:pt idx="0">
                  <c:v>72.150321330271225</c:v>
                </c:pt>
                <c:pt idx="1">
                  <c:v>73.347414556634419</c:v>
                </c:pt>
                <c:pt idx="2">
                  <c:v>73.418121646548897</c:v>
                </c:pt>
                <c:pt idx="3">
                  <c:v>74.590518969141527</c:v>
                </c:pt>
                <c:pt idx="4">
                  <c:v>74.483403704659708</c:v>
                </c:pt>
                <c:pt idx="5">
                  <c:v>76.498934908404479</c:v>
                </c:pt>
                <c:pt idx="6">
                  <c:v>78.179854964050918</c:v>
                </c:pt>
                <c:pt idx="7">
                  <c:v>77.278454353108359</c:v>
                </c:pt>
                <c:pt idx="8">
                  <c:v>77.400955305164743</c:v>
                </c:pt>
                <c:pt idx="9">
                  <c:v>78.051094919698812</c:v>
                </c:pt>
              </c:numCache>
            </c:numRef>
          </c:val>
        </c:ser>
        <c:marker val="1"/>
        <c:axId val="128416000"/>
        <c:axId val="128417792"/>
      </c:lineChart>
      <c:catAx>
        <c:axId val="128416000"/>
        <c:scaling>
          <c:orientation val="minMax"/>
        </c:scaling>
        <c:axPos val="b"/>
        <c:numFmt formatCode="General" sourceLinked="1"/>
        <c:tickLblPos val="nextTo"/>
        <c:crossAx val="128417792"/>
        <c:crosses val="autoZero"/>
        <c:auto val="1"/>
        <c:lblAlgn val="ctr"/>
        <c:lblOffset val="100"/>
      </c:catAx>
      <c:valAx>
        <c:axId val="128417792"/>
        <c:scaling>
          <c:orientation val="minMax"/>
        </c:scaling>
        <c:axPos val="l"/>
        <c:majorGridlines/>
        <c:numFmt formatCode="0.0" sourceLinked="1"/>
        <c:tickLblPos val="nextTo"/>
        <c:crossAx val="128416000"/>
        <c:crosses val="autoZero"/>
        <c:crossBetween val="between"/>
      </c:valAx>
    </c:plotArea>
    <c:legend>
      <c:legendPos val="r"/>
    </c:legend>
    <c:plotVisOnly val="1"/>
    <c:dispBlanksAs val="gap"/>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ka-GE" sz="1050"/>
              <a:t>დასაქმების დონე სქესობრივ ჭრილში, %</a:t>
            </a:r>
          </a:p>
        </c:rich>
      </c:tx>
    </c:title>
    <c:plotArea>
      <c:layout>
        <c:manualLayout>
          <c:layoutTarget val="inner"/>
          <c:xMode val="edge"/>
          <c:yMode val="edge"/>
          <c:x val="0.10558573928259032"/>
          <c:y val="0.16621536891221941"/>
          <c:w val="0.72234470691163599"/>
          <c:h val="0.68341025080198259"/>
        </c:manualLayout>
      </c:layout>
      <c:lineChart>
        <c:grouping val="standard"/>
        <c:ser>
          <c:idx val="0"/>
          <c:order val="0"/>
          <c:tx>
            <c:v>ქალი</c:v>
          </c:tx>
          <c:dLbls>
            <c:numFmt formatCode="#,##0.0" sourceLinked="0"/>
            <c:txPr>
              <a:bodyPr/>
              <a:lstStyle/>
              <a:p>
                <a:pPr>
                  <a:defRPr b="1"/>
                </a:pPr>
                <a:endParaRPr lang="en-US"/>
              </a:p>
            </c:txPr>
            <c:dLblPos val="b"/>
            <c:showVal val="1"/>
          </c:dLbls>
          <c:cat>
            <c:numRef>
              <c:f>Sheet1!$J$3:$S$3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Sheet1!$J$13:$S$13</c:f>
              <c:numCache>
                <c:formatCode>0.0</c:formatCode>
                <c:ptCount val="10"/>
                <c:pt idx="0">
                  <c:v>47.386986059276737</c:v>
                </c:pt>
                <c:pt idx="1">
                  <c:v>48.091681064890288</c:v>
                </c:pt>
                <c:pt idx="2">
                  <c:v>44.8864974191901</c:v>
                </c:pt>
                <c:pt idx="3">
                  <c:v>45.937608772158505</c:v>
                </c:pt>
                <c:pt idx="4">
                  <c:v>47.474945892592544</c:v>
                </c:pt>
                <c:pt idx="5">
                  <c:v>48.469152125115059</c:v>
                </c:pt>
                <c:pt idx="6">
                  <c:v>49.475211808531412</c:v>
                </c:pt>
                <c:pt idx="7">
                  <c:v>49.758269356044494</c:v>
                </c:pt>
                <c:pt idx="8">
                  <c:v>51.117646712695567</c:v>
                </c:pt>
                <c:pt idx="9">
                  <c:v>52.897229452114701</c:v>
                </c:pt>
              </c:numCache>
            </c:numRef>
          </c:val>
        </c:ser>
        <c:ser>
          <c:idx val="1"/>
          <c:order val="1"/>
          <c:tx>
            <c:v>კაცი</c:v>
          </c:tx>
          <c:marker>
            <c:symbol val="diamond"/>
            <c:size val="7"/>
          </c:marker>
          <c:dLbls>
            <c:numFmt formatCode="#,##0.0" sourceLinked="0"/>
            <c:txPr>
              <a:bodyPr/>
              <a:lstStyle/>
              <a:p>
                <a:pPr>
                  <a:defRPr b="1"/>
                </a:pPr>
                <a:endParaRPr lang="en-US"/>
              </a:p>
            </c:txPr>
            <c:dLblPos val="t"/>
            <c:showVal val="1"/>
          </c:dLbls>
          <c:cat>
            <c:numRef>
              <c:f>Sheet1!$J$3:$S$3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Sheet1!$J$29:$S$29</c:f>
              <c:numCache>
                <c:formatCode>0.0</c:formatCode>
                <c:ptCount val="10"/>
                <c:pt idx="0">
                  <c:v>61.160725027182011</c:v>
                </c:pt>
                <c:pt idx="1">
                  <c:v>63.135357016642104</c:v>
                </c:pt>
                <c:pt idx="2">
                  <c:v>61.104682180258557</c:v>
                </c:pt>
                <c:pt idx="3">
                  <c:v>61.102473603661345</c:v>
                </c:pt>
                <c:pt idx="4">
                  <c:v>61.15029771005274</c:v>
                </c:pt>
                <c:pt idx="5">
                  <c:v>63.68711094047552</c:v>
                </c:pt>
                <c:pt idx="6">
                  <c:v>65.582876555859556</c:v>
                </c:pt>
                <c:pt idx="7">
                  <c:v>64.540468858513748</c:v>
                </c:pt>
                <c:pt idx="8">
                  <c:v>66.573040023505328</c:v>
                </c:pt>
                <c:pt idx="9">
                  <c:v>67.552978091882167</c:v>
                </c:pt>
              </c:numCache>
            </c:numRef>
          </c:val>
        </c:ser>
        <c:marker val="1"/>
        <c:axId val="128795776"/>
        <c:axId val="128797312"/>
      </c:lineChart>
      <c:catAx>
        <c:axId val="128795776"/>
        <c:scaling>
          <c:orientation val="minMax"/>
        </c:scaling>
        <c:axPos val="b"/>
        <c:numFmt formatCode="General" sourceLinked="1"/>
        <c:tickLblPos val="nextTo"/>
        <c:crossAx val="128797312"/>
        <c:crosses val="autoZero"/>
        <c:auto val="1"/>
        <c:lblAlgn val="ctr"/>
        <c:lblOffset val="100"/>
      </c:catAx>
      <c:valAx>
        <c:axId val="128797312"/>
        <c:scaling>
          <c:orientation val="minMax"/>
          <c:max val="80"/>
        </c:scaling>
        <c:axPos val="l"/>
        <c:majorGridlines/>
        <c:numFmt formatCode="0.0" sourceLinked="1"/>
        <c:tickLblPos val="nextTo"/>
        <c:crossAx val="128795776"/>
        <c:crosses val="autoZero"/>
        <c:crossBetween val="between"/>
      </c:valAx>
    </c:plotArea>
    <c:legend>
      <c:legendPos val="r"/>
    </c:legend>
    <c:plotVisOnly val="1"/>
    <c:dispBlanksAs val="gap"/>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200"/>
            </a:pPr>
            <a:r>
              <a:rPr lang="ka-GE" sz="1100" b="1"/>
              <a:t>უმუშევრობის</a:t>
            </a:r>
            <a:r>
              <a:rPr lang="ka-GE" sz="1100" b="1" baseline="0"/>
              <a:t> დონის ცვლილება 201</a:t>
            </a:r>
            <a:r>
              <a:rPr lang="en-US" sz="1100" b="1" baseline="0"/>
              <a:t>5</a:t>
            </a:r>
            <a:r>
              <a:rPr lang="ka-GE" sz="1100" b="1" baseline="0"/>
              <a:t> წელს 201</a:t>
            </a:r>
            <a:r>
              <a:rPr lang="en-US" sz="1100" b="1" baseline="0"/>
              <a:t>4</a:t>
            </a:r>
            <a:r>
              <a:rPr lang="ka-GE" sz="1100" b="1" baseline="0"/>
              <a:t> წელთან მიმართებაში, პროცენტული პუნქტი</a:t>
            </a:r>
            <a:endParaRPr lang="en-US" sz="1100" b="1"/>
          </a:p>
        </c:rich>
      </c:tx>
      <c:layout>
        <c:manualLayout>
          <c:xMode val="edge"/>
          <c:yMode val="edge"/>
          <c:x val="0.12858985730231998"/>
          <c:y val="1.8518518518518583E-2"/>
        </c:manualLayout>
      </c:layout>
      <c:spPr>
        <a:noFill/>
      </c:spPr>
    </c:title>
    <c:plotArea>
      <c:layout/>
      <c:barChart>
        <c:barDir val="bar"/>
        <c:grouping val="clustered"/>
        <c:ser>
          <c:idx val="0"/>
          <c:order val="0"/>
          <c:dLbls>
            <c:dLbl>
              <c:idx val="4"/>
              <c:layout>
                <c:manualLayout>
                  <c:x val="-1.66664479440072E-2"/>
                  <c:y val="4.6296296296296831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en-US"/>
              </a:p>
            </c:txPr>
            <c:showVal val="1"/>
          </c:dLbls>
          <c:cat>
            <c:strRef>
              <c:f>Asaki3!$B$5:$M$5</c:f>
              <c:strCache>
                <c:ptCount val="12"/>
                <c:pt idx="0">
                  <c:v>15-19</c:v>
                </c:pt>
                <c:pt idx="1">
                  <c:v>20-24</c:v>
                </c:pt>
                <c:pt idx="2">
                  <c:v>25-29</c:v>
                </c:pt>
                <c:pt idx="3">
                  <c:v>30-34</c:v>
                </c:pt>
                <c:pt idx="4">
                  <c:v>35-39</c:v>
                </c:pt>
                <c:pt idx="5">
                  <c:v>40-44</c:v>
                </c:pt>
                <c:pt idx="6">
                  <c:v>45-49</c:v>
                </c:pt>
                <c:pt idx="7">
                  <c:v>50-54</c:v>
                </c:pt>
                <c:pt idx="8">
                  <c:v>55-59</c:v>
                </c:pt>
                <c:pt idx="9">
                  <c:v>60-64</c:v>
                </c:pt>
                <c:pt idx="10">
                  <c:v>65+</c:v>
                </c:pt>
                <c:pt idx="11">
                  <c:v>Total</c:v>
                </c:pt>
              </c:strCache>
            </c:strRef>
          </c:cat>
          <c:val>
            <c:numRef>
              <c:f>Asaki3!$B$38:$M$38</c:f>
              <c:numCache>
                <c:formatCode>0.0</c:formatCode>
                <c:ptCount val="12"/>
                <c:pt idx="0">
                  <c:v>-5.6000000000000005</c:v>
                </c:pt>
                <c:pt idx="1">
                  <c:v>1.5</c:v>
                </c:pt>
                <c:pt idx="2">
                  <c:v>-2.8000000000000007</c:v>
                </c:pt>
                <c:pt idx="3">
                  <c:v>-1.9000000000000021</c:v>
                </c:pt>
                <c:pt idx="4">
                  <c:v>-0.80000000000000071</c:v>
                </c:pt>
                <c:pt idx="5">
                  <c:v>-0.10000000000000003</c:v>
                </c:pt>
                <c:pt idx="6">
                  <c:v>1.2000000000000011</c:v>
                </c:pt>
                <c:pt idx="7">
                  <c:v>1.1000000000000021</c:v>
                </c:pt>
                <c:pt idx="8">
                  <c:v>-0.40000000000000036</c:v>
                </c:pt>
                <c:pt idx="9">
                  <c:v>0.19999999999999982</c:v>
                </c:pt>
                <c:pt idx="10">
                  <c:v>0</c:v>
                </c:pt>
                <c:pt idx="11">
                  <c:v>-0.40000000000000036</c:v>
                </c:pt>
              </c:numCache>
            </c:numRef>
          </c:val>
        </c:ser>
        <c:gapWidth val="50"/>
        <c:axId val="128809600"/>
        <c:axId val="132784512"/>
      </c:barChart>
      <c:catAx>
        <c:axId val="128809600"/>
        <c:scaling>
          <c:orientation val="minMax"/>
        </c:scaling>
        <c:axPos val="l"/>
        <c:numFmt formatCode="General" sourceLinked="1"/>
        <c:tickLblPos val="low"/>
        <c:txPr>
          <a:bodyPr rot="0" vert="horz"/>
          <a:lstStyle/>
          <a:p>
            <a:pPr>
              <a:defRPr sz="1000" b="0" i="0" u="none" strike="noStrike" baseline="0">
                <a:solidFill>
                  <a:srgbClr val="000000"/>
                </a:solidFill>
                <a:latin typeface="Calibri"/>
                <a:ea typeface="Calibri"/>
                <a:cs typeface="Calibri"/>
              </a:defRPr>
            </a:pPr>
            <a:endParaRPr lang="en-US"/>
          </a:p>
        </c:txPr>
        <c:crossAx val="132784512"/>
        <c:crosses val="autoZero"/>
        <c:auto val="1"/>
        <c:lblAlgn val="ctr"/>
        <c:lblOffset val="100"/>
      </c:catAx>
      <c:valAx>
        <c:axId val="132784512"/>
        <c:scaling>
          <c:orientation val="minMax"/>
          <c:min val="-7"/>
        </c:scaling>
        <c:axPos val="b"/>
        <c:majorGridlines/>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8809600"/>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ka-GE" sz="1050"/>
              <a:t>უმუშევრობის დონე ასაკობრივ ჭრილში, %</a:t>
            </a:r>
          </a:p>
        </c:rich>
      </c:tx>
    </c:title>
    <c:plotArea>
      <c:layout>
        <c:manualLayout>
          <c:layoutTarget val="inner"/>
          <c:xMode val="edge"/>
          <c:yMode val="edge"/>
          <c:x val="0.10558573928259039"/>
          <c:y val="0.17177092446777489"/>
          <c:w val="0.84078915135608479"/>
          <c:h val="0.61799795858851825"/>
        </c:manualLayout>
      </c:layout>
      <c:lineChart>
        <c:grouping val="stacked"/>
        <c:ser>
          <c:idx val="0"/>
          <c:order val="0"/>
          <c:tx>
            <c:v>უმუშევრობის დონე ასაკობრივ ჭრილში</c:v>
          </c:tx>
          <c:dLbls>
            <c:dLbl>
              <c:idx val="3"/>
              <c:spPr/>
              <c:txPr>
                <a:bodyPr/>
                <a:lstStyle/>
                <a:p>
                  <a:pPr>
                    <a:defRPr/>
                  </a:pPr>
                  <a:endParaRPr lang="en-US"/>
                </a:p>
              </c:txPr>
            </c:dLbl>
            <c:dLbl>
              <c:idx val="5"/>
              <c:spPr/>
              <c:txPr>
                <a:bodyPr/>
                <a:lstStyle/>
                <a:p>
                  <a:pPr>
                    <a:defRPr/>
                  </a:pPr>
                  <a:endParaRPr lang="en-US"/>
                </a:p>
              </c:txPr>
            </c:dLbl>
            <c:dLbl>
              <c:idx val="6"/>
              <c:spPr/>
              <c:txPr>
                <a:bodyPr/>
                <a:lstStyle/>
                <a:p>
                  <a:pPr>
                    <a:defRPr/>
                  </a:pPr>
                  <a:endParaRPr lang="en-US"/>
                </a:p>
              </c:txPr>
            </c:dLbl>
            <c:dLbl>
              <c:idx val="7"/>
              <c:spPr/>
              <c:txPr>
                <a:bodyPr/>
                <a:lstStyle/>
                <a:p>
                  <a:pPr>
                    <a:defRPr/>
                  </a:pPr>
                  <a:endParaRPr lang="en-US"/>
                </a:p>
              </c:txPr>
            </c:dLbl>
            <c:dLbl>
              <c:idx val="8"/>
              <c:spPr/>
              <c:txPr>
                <a:bodyPr/>
                <a:lstStyle/>
                <a:p>
                  <a:pPr>
                    <a:defRPr/>
                  </a:pPr>
                  <a:endParaRPr lang="en-US"/>
                </a:p>
              </c:txPr>
            </c:dLbl>
            <c:dLblPos val="t"/>
            <c:showVal val="1"/>
          </c:dLbls>
          <c:cat>
            <c:strRef>
              <c:f>asaki1!$B$6:$M$6</c:f>
              <c:strCache>
                <c:ptCount val="12"/>
                <c:pt idx="0">
                  <c:v>15-19</c:v>
                </c:pt>
                <c:pt idx="1">
                  <c:v>20-24</c:v>
                </c:pt>
                <c:pt idx="2">
                  <c:v>25-29</c:v>
                </c:pt>
                <c:pt idx="3">
                  <c:v>30-34</c:v>
                </c:pt>
                <c:pt idx="4">
                  <c:v>35-39</c:v>
                </c:pt>
                <c:pt idx="5">
                  <c:v>40-44</c:v>
                </c:pt>
                <c:pt idx="6">
                  <c:v>45-49</c:v>
                </c:pt>
                <c:pt idx="7">
                  <c:v>50-54</c:v>
                </c:pt>
                <c:pt idx="8">
                  <c:v>55-59</c:v>
                </c:pt>
                <c:pt idx="9">
                  <c:v>60-64</c:v>
                </c:pt>
                <c:pt idx="10">
                  <c:v>65+</c:v>
                </c:pt>
                <c:pt idx="11">
                  <c:v>სულ</c:v>
                </c:pt>
              </c:strCache>
            </c:strRef>
          </c:cat>
          <c:val>
            <c:numRef>
              <c:f>asaki1!$B$14:$M$14</c:f>
              <c:numCache>
                <c:formatCode>0.0</c:formatCode>
                <c:ptCount val="12"/>
                <c:pt idx="0">
                  <c:v>26.186993479781162</c:v>
                </c:pt>
                <c:pt idx="1">
                  <c:v>31.978036112372045</c:v>
                </c:pt>
                <c:pt idx="2">
                  <c:v>20.730320473528689</c:v>
                </c:pt>
                <c:pt idx="3">
                  <c:v>15.152964865636704</c:v>
                </c:pt>
                <c:pt idx="4">
                  <c:v>15.045114080490098</c:v>
                </c:pt>
                <c:pt idx="5">
                  <c:v>10.92507936957935</c:v>
                </c:pt>
                <c:pt idx="6">
                  <c:v>9.4132049601533829</c:v>
                </c:pt>
                <c:pt idx="7">
                  <c:v>9.7684266188444848</c:v>
                </c:pt>
                <c:pt idx="8">
                  <c:v>7.5408448177161498</c:v>
                </c:pt>
                <c:pt idx="9">
                  <c:v>5.0979968904395845</c:v>
                </c:pt>
                <c:pt idx="10">
                  <c:v>0.8522266258125295</c:v>
                </c:pt>
                <c:pt idx="11">
                  <c:v>11.950455278487389</c:v>
                </c:pt>
              </c:numCache>
            </c:numRef>
          </c:val>
        </c:ser>
        <c:marker val="1"/>
        <c:axId val="132810624"/>
        <c:axId val="132812160"/>
      </c:lineChart>
      <c:catAx>
        <c:axId val="132810624"/>
        <c:scaling>
          <c:orientation val="minMax"/>
        </c:scaling>
        <c:axPos val="b"/>
        <c:numFmt formatCode="General" sourceLinked="1"/>
        <c:tickLblPos val="nextTo"/>
        <c:crossAx val="132812160"/>
        <c:crosses val="autoZero"/>
        <c:auto val="1"/>
        <c:lblAlgn val="ctr"/>
        <c:lblOffset val="100"/>
      </c:catAx>
      <c:valAx>
        <c:axId val="132812160"/>
        <c:scaling>
          <c:orientation val="minMax"/>
        </c:scaling>
        <c:axPos val="l"/>
        <c:majorGridlines/>
        <c:numFmt formatCode="0.0" sourceLinked="1"/>
        <c:tickLblPos val="nextTo"/>
        <c:crossAx val="132810624"/>
        <c:crosses val="autoZero"/>
        <c:crossBetween val="between"/>
      </c:valAx>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plotArea>
      <c:layout>
        <c:manualLayout>
          <c:layoutTarget val="inner"/>
          <c:xMode val="edge"/>
          <c:yMode val="edge"/>
          <c:x val="0.49876363207408081"/>
          <c:y val="6.1309701878663032E-2"/>
          <c:w val="0.45901148155086241"/>
          <c:h val="0.85581463607372055"/>
        </c:manualLayout>
      </c:layout>
      <c:barChart>
        <c:barDir val="bar"/>
        <c:grouping val="clustered"/>
        <c:ser>
          <c:idx val="0"/>
          <c:order val="0"/>
          <c:spPr>
            <a:solidFill>
              <a:srgbClr val="C00000"/>
            </a:solidFill>
          </c:spPr>
          <c:dLbls>
            <c:dLbl>
              <c:idx val="2"/>
              <c:layout>
                <c:manualLayout>
                  <c:x val="3.1142820723871253E-3"/>
                  <c:y val="-5.4495745687963238E-3"/>
                </c:manualLayout>
              </c:layout>
              <c:showVal val="1"/>
              <c:extLst>
                <c:ext xmlns:c15="http://schemas.microsoft.com/office/drawing/2012/chart" uri="{CE6537A1-D6FC-4f65-9D91-7224C49458BB}">
                  <c15:layout/>
                </c:ext>
              </c:extLst>
            </c:dLbl>
            <c:dLbl>
              <c:idx val="3"/>
              <c:layout>
                <c:manualLayout>
                  <c:x val="-8.9887619242650808E-3"/>
                  <c:y val="-8.7613484098203385E-17"/>
                </c:manualLayout>
              </c:layout>
              <c:showVal val="1"/>
              <c:extLst>
                <c:ext xmlns:c15="http://schemas.microsoft.com/office/drawing/2012/chart" uri="{CE6537A1-D6FC-4f65-9D91-7224C49458BB}">
                  <c15:layout/>
                </c:ext>
              </c:extLst>
            </c:dLbl>
            <c:dLbl>
              <c:idx val="5"/>
              <c:layout>
                <c:manualLayout>
                  <c:x val="-5.5267909931189024E-3"/>
                  <c:y val="-3.7178148430371113E-3"/>
                </c:manualLayout>
              </c:layout>
              <c:showVal val="1"/>
              <c:extLst>
                <c:ext xmlns:c15="http://schemas.microsoft.com/office/drawing/2012/chart" uri="{CE6537A1-D6FC-4f65-9D91-7224C49458BB}">
                  <c15:layout/>
                </c:ext>
              </c:extLst>
            </c:dLbl>
            <c:dLbl>
              <c:idx val="6"/>
              <c:layout>
                <c:manualLayout>
                  <c:x val="-2.9962539747550227E-3"/>
                  <c:y val="0"/>
                </c:manualLayout>
              </c:layout>
              <c:showVal val="1"/>
              <c:extLst>
                <c:ext xmlns:c15="http://schemas.microsoft.com/office/drawing/2012/chart" uri="{CE6537A1-D6FC-4f65-9D91-7224C49458BB}">
                  <c15:layout/>
                </c:ext>
              </c:extLst>
            </c:dLbl>
            <c:dLbl>
              <c:idx val="7"/>
              <c:layout>
                <c:manualLayout>
                  <c:x val="-2.9964899002647397E-3"/>
                  <c:y val="-4.7789725209080114E-3"/>
                </c:manualLayout>
              </c:layout>
              <c:showVal val="1"/>
              <c:extLst>
                <c:ext xmlns:c15="http://schemas.microsoft.com/office/drawing/2012/chart" uri="{CE6537A1-D6FC-4f65-9D91-7224C49458BB}">
                  <c15:layout/>
                </c:ext>
              </c:extLst>
            </c:dLbl>
            <c:dLbl>
              <c:idx val="8"/>
              <c:layout>
                <c:manualLayout>
                  <c:x val="-3.7512977544473867E-3"/>
                  <c:y val="-2.5658792650918652E-3"/>
                </c:manualLayout>
              </c:layout>
              <c:showVal val="1"/>
              <c:extLst>
                <c:ext xmlns:c15="http://schemas.microsoft.com/office/drawing/2012/chart" uri="{CE6537A1-D6FC-4f65-9D91-7224C49458BB}">
                  <c15:layout/>
                </c:ext>
              </c:extLst>
            </c:dLbl>
            <c:dLbl>
              <c:idx val="9"/>
              <c:layout>
                <c:manualLayout>
                  <c:x val="-1.1666988311778446E-2"/>
                  <c:y val="0"/>
                </c:manualLayout>
              </c:layout>
              <c:showVal val="1"/>
              <c:extLst>
                <c:ext xmlns:c15="http://schemas.microsoft.com/office/drawing/2012/chart" uri="{CE6537A1-D6FC-4f65-9D91-7224C49458BB}">
                  <c15:layout/>
                </c:ext>
              </c:extLst>
            </c:dLbl>
            <c:dLbl>
              <c:idx val="10"/>
              <c:layout>
                <c:manualLayout>
                  <c:x val="-8.9875822967161387E-3"/>
                  <c:y val="0"/>
                </c:manualLayout>
              </c:layout>
              <c:showVal val="1"/>
              <c:extLst>
                <c:ext xmlns:c15="http://schemas.microsoft.com/office/drawing/2012/chart" uri="{CE6537A1-D6FC-4f65-9D91-7224C49458BB}">
                  <c15:layout/>
                </c:ext>
              </c:extLst>
            </c:dLbl>
            <c:dLbl>
              <c:idx val="11"/>
              <c:layout>
                <c:manualLayout>
                  <c:x val="-2.7950095148757013E-3"/>
                  <c:y val="4.3725717081063813E-4"/>
                </c:manualLayout>
              </c:layout>
              <c:showVal val="1"/>
              <c:extLst>
                <c:ext xmlns:c15="http://schemas.microsoft.com/office/drawing/2012/chart" uri="{CE6537A1-D6FC-4f65-9D91-7224C49458BB}">
                  <c15:layout/>
                </c:ext>
              </c:extLst>
            </c:dLbl>
            <c:numFmt formatCode="#,##0.00" sourceLinked="0"/>
            <c:spPr>
              <a:noFill/>
              <a:ln>
                <a:noFill/>
              </a:ln>
              <a:effectLst/>
            </c:spPr>
            <c:txPr>
              <a:bodyPr/>
              <a:lstStyle/>
              <a:p>
                <a:pPr>
                  <a:defRPr lang="ru-RU"/>
                </a:pPr>
                <a:endParaRPr lang="en-US"/>
              </a:p>
            </c:txPr>
            <c:showVal val="1"/>
            <c:extLst>
              <c:ext xmlns:c15="http://schemas.microsoft.com/office/drawing/2012/chart" uri="{CE6537A1-D6FC-4f65-9D91-7224C49458BB}">
                <c15:layout/>
                <c15:showLeaderLines val="0"/>
              </c:ext>
            </c:extLst>
          </c:dLbls>
          <c:cat>
            <c:strRef>
              <c:f>'11_georgian'!$B$2:$B$13</c:f>
              <c:strCache>
                <c:ptCount val="12"/>
                <c:pt idx="0">
                  <c:v>სხვადასხვა საქონელი და მომსახურება</c:v>
                </c:pt>
                <c:pt idx="1">
                  <c:v>სასტუმროები, კაფეები და რესტორნები</c:v>
                </c:pt>
                <c:pt idx="2">
                  <c:v>განათლება</c:v>
                </c:pt>
                <c:pt idx="3">
                  <c:v>დასვენება, გართობა და კულტურა</c:v>
                </c:pt>
                <c:pt idx="4">
                  <c:v>კავშირგაბმულობა</c:v>
                </c:pt>
                <c:pt idx="5">
                  <c:v>ტრანსპორტი</c:v>
                </c:pt>
                <c:pt idx="6">
                  <c:v>ჯანმრთელობის დაცვა</c:v>
                </c:pt>
                <c:pt idx="7">
                  <c:v>ავეჯი, საოჯახო ნივთები, სახლის მოვლა</c:v>
                </c:pt>
                <c:pt idx="8">
                  <c:v>საცხოვრებელი, წყალი, ელ.ენერგია, აირი</c:v>
                </c:pt>
                <c:pt idx="9">
                  <c:v>ტანსაცმელი და ფეხსაცმელი</c:v>
                </c:pt>
                <c:pt idx="10">
                  <c:v>ალკოჰოლური სასმელები, თამბაქო</c:v>
                </c:pt>
                <c:pt idx="11">
                  <c:v>სურსათი და უალკოჰოლო სასმელები</c:v>
                </c:pt>
              </c:strCache>
            </c:strRef>
          </c:cat>
          <c:val>
            <c:numRef>
              <c:f>'11_georgian'!$C$2:$C$13</c:f>
              <c:numCache>
                <c:formatCode>0.00</c:formatCode>
                <c:ptCount val="12"/>
                <c:pt idx="0">
                  <c:v>3.6202466362097998E-3</c:v>
                </c:pt>
                <c:pt idx="1">
                  <c:v>1.4840869037245066E-2</c:v>
                </c:pt>
                <c:pt idx="2">
                  <c:v>1.6503044734476009E-2</c:v>
                </c:pt>
                <c:pt idx="3">
                  <c:v>3.1532947333030005E-2</c:v>
                </c:pt>
                <c:pt idx="4">
                  <c:v>6.3270791593075001E-4</c:v>
                </c:pt>
                <c:pt idx="5">
                  <c:v>0.27266514830750999</c:v>
                </c:pt>
                <c:pt idx="6">
                  <c:v>6.424011810843E-2</c:v>
                </c:pt>
                <c:pt idx="7">
                  <c:v>9.9395526485146525E-3</c:v>
                </c:pt>
                <c:pt idx="8">
                  <c:v>6.1620832792611005E-2</c:v>
                </c:pt>
                <c:pt idx="9">
                  <c:v>-7.1752849806180014E-3</c:v>
                </c:pt>
                <c:pt idx="10">
                  <c:v>9.1831960692540043E-2</c:v>
                </c:pt>
                <c:pt idx="11">
                  <c:v>0.46897492130033147</c:v>
                </c:pt>
              </c:numCache>
            </c:numRef>
          </c:val>
        </c:ser>
        <c:axId val="126492672"/>
        <c:axId val="126494208"/>
      </c:barChart>
      <c:catAx>
        <c:axId val="126492672"/>
        <c:scaling>
          <c:orientation val="minMax"/>
        </c:scaling>
        <c:axPos val="l"/>
        <c:numFmt formatCode="General" sourceLinked="1"/>
        <c:majorTickMark val="none"/>
        <c:tickLblPos val="low"/>
        <c:txPr>
          <a:bodyPr/>
          <a:lstStyle/>
          <a:p>
            <a:pPr>
              <a:defRPr lang="ru-RU"/>
            </a:pPr>
            <a:endParaRPr lang="en-US"/>
          </a:p>
        </c:txPr>
        <c:crossAx val="126494208"/>
        <c:crossesAt val="0"/>
        <c:lblAlgn val="ctr"/>
        <c:lblOffset val="100"/>
        <c:tickMarkSkip val="1"/>
      </c:catAx>
      <c:valAx>
        <c:axId val="126494208"/>
        <c:scaling>
          <c:orientation val="minMax"/>
          <c:min val="-0.1"/>
        </c:scaling>
        <c:axPos val="b"/>
        <c:numFmt formatCode="0.00" sourceLinked="0"/>
        <c:tickLblPos val="nextTo"/>
        <c:txPr>
          <a:bodyPr/>
          <a:lstStyle/>
          <a:p>
            <a:pPr>
              <a:defRPr lang="ru-RU"/>
            </a:pPr>
            <a:endParaRPr lang="en-US"/>
          </a:p>
        </c:txPr>
        <c:crossAx val="126492672"/>
        <c:crosses val="autoZero"/>
        <c:crossBetween val="between"/>
      </c:valAx>
    </c:plotArea>
    <c:plotVisOnly val="1"/>
    <c:dispBlanksAs val="gap"/>
  </c:chart>
  <c:spPr>
    <a:ln>
      <a:noFill/>
    </a:ln>
  </c:spPr>
  <c:txPr>
    <a:bodyPr/>
    <a:lstStyle/>
    <a:p>
      <a:pPr>
        <a:defRPr sz="800"/>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2"/>
  <c:clrMapOvr bg1="lt1" tx1="dk1" bg2="lt2" tx2="dk2" accent1="accent1" accent2="accent2" accent3="accent3" accent4="accent4" accent5="accent5" accent6="accent6" hlink="hlink" folHlink="folHlink"/>
  <c:chart>
    <c:title>
      <c:tx>
        <c:rich>
          <a:bodyPr/>
          <a:lstStyle/>
          <a:p>
            <a:pPr algn="ctr">
              <a:defRPr lang="ru-RU" sz="1000" b="0" i="0" u="none" strike="noStrike" baseline="0">
                <a:solidFill>
                  <a:srgbClr val="000000"/>
                </a:solidFill>
                <a:latin typeface="Calibri"/>
                <a:ea typeface="Calibri"/>
                <a:cs typeface="Calibri"/>
              </a:defRPr>
            </a:pPr>
            <a:r>
              <a:rPr lang="ka-GE" sz="1000" b="1" i="0" strike="noStrike">
                <a:solidFill>
                  <a:srgbClr val="000000"/>
                </a:solidFill>
              </a:rPr>
              <a:t>წლიური ინფლაციის დონე </a:t>
            </a:r>
            <a:r>
              <a:rPr lang="en-US" sz="1000" b="1" i="0" strike="noStrike">
                <a:solidFill>
                  <a:srgbClr val="000000"/>
                </a:solidFill>
              </a:rPr>
              <a:t> </a:t>
            </a:r>
            <a:r>
              <a:rPr lang="ka-GE" sz="1000" b="1" i="0" strike="noStrike">
                <a:solidFill>
                  <a:srgbClr val="000000"/>
                </a:solidFill>
              </a:rPr>
              <a:t>საქართველოში </a:t>
            </a:r>
          </a:p>
          <a:p>
            <a:pPr algn="ctr">
              <a:defRPr lang="ru-RU" sz="1000" b="0" i="0" u="none" strike="noStrike" baseline="0">
                <a:solidFill>
                  <a:srgbClr val="000000"/>
                </a:solidFill>
                <a:latin typeface="Calibri"/>
                <a:ea typeface="Calibri"/>
                <a:cs typeface="Calibri"/>
              </a:defRPr>
            </a:pPr>
            <a:r>
              <a:rPr lang="ka-GE" sz="1000" b="0" i="0" strike="noStrike">
                <a:solidFill>
                  <a:srgbClr val="000000"/>
                </a:solidFill>
              </a:rPr>
              <a:t>(წინა წლის შესაბამის თვესთან, პროცენტული ცვლილება)</a:t>
            </a:r>
          </a:p>
        </c:rich>
      </c:tx>
      <c:layout>
        <c:manualLayout>
          <c:xMode val="edge"/>
          <c:yMode val="edge"/>
          <c:x val="0.21274971808920076"/>
          <c:y val="3.7968771640212442E-3"/>
        </c:manualLayout>
      </c:layout>
    </c:title>
    <c:plotArea>
      <c:layout>
        <c:manualLayout>
          <c:layoutTarget val="inner"/>
          <c:xMode val="edge"/>
          <c:yMode val="edge"/>
          <c:x val="8.631419432310701E-2"/>
          <c:y val="0.18858531643950244"/>
          <c:w val="0.88629132271701949"/>
          <c:h val="0.71941254738990956"/>
        </c:manualLayout>
      </c:layout>
      <c:lineChart>
        <c:grouping val="standard"/>
        <c:ser>
          <c:idx val="0"/>
          <c:order val="0"/>
          <c:tx>
            <c:strRef>
              <c:f>Sheet1!$A$30</c:f>
              <c:strCache>
                <c:ptCount val="1"/>
                <c:pt idx="0">
                  <c:v>წინა წლის შესაბამისი თვე = 100</c:v>
                </c:pt>
              </c:strCache>
            </c:strRef>
          </c:tx>
          <c:spPr>
            <a:ln w="34925">
              <a:solidFill>
                <a:srgbClr val="C00000"/>
              </a:solidFill>
            </a:ln>
          </c:spPr>
          <c:marker>
            <c:spPr>
              <a:solidFill>
                <a:srgbClr val="C00000"/>
              </a:solidFill>
              <a:ln>
                <a:solidFill>
                  <a:srgbClr val="C00000"/>
                </a:solidFill>
              </a:ln>
            </c:spPr>
          </c:marker>
          <c:dLbls>
            <c:dLbl>
              <c:idx val="1"/>
              <c:delete val="1"/>
              <c:extLst>
                <c:ext xmlns:c15="http://schemas.microsoft.com/office/drawing/2012/chart" uri="{CE6537A1-D6FC-4f65-9D91-7224C49458BB}"/>
              </c:extLst>
            </c:dLbl>
            <c:dLbl>
              <c:idx val="2"/>
              <c:layout>
                <c:manualLayout>
                  <c:x val="-2.4432809773124065E-2"/>
                  <c:y val="-5.6779773167041622E-2"/>
                </c:manualLayout>
              </c:layout>
              <c:showVal val="1"/>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dLbl>
              <c:idx val="4"/>
              <c:layout>
                <c:manualLayout>
                  <c:x val="-3.3224161044190278E-2"/>
                  <c:y val="-6.0565374002193834E-2"/>
                </c:manualLayout>
              </c:layout>
              <c:showVal val="1"/>
              <c:extLst>
                <c:ext xmlns:c15="http://schemas.microsoft.com/office/drawing/2012/chart" uri="{CE6537A1-D6FC-4f65-9D91-7224C49458BB}">
                  <c15:layout/>
                </c:ext>
              </c:extLst>
            </c:dLbl>
            <c:dLbl>
              <c:idx val="5"/>
              <c:layout>
                <c:manualLayout>
                  <c:x val="-2.7735648972568649E-2"/>
                  <c:y val="-5.3382492367976923E-2"/>
                </c:manualLayout>
              </c:layout>
              <c:dLblPos val="r"/>
              <c:showVal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4.0140169215898261E-2"/>
                  <c:y val="-9.4134282399157346E-2"/>
                </c:manualLayout>
              </c:layout>
              <c:dLblPos val="r"/>
              <c:showVal val="1"/>
              <c:extLst>
                <c:ext xmlns:c15="http://schemas.microsoft.com/office/drawing/2012/chart" uri="{CE6537A1-D6FC-4f65-9D91-7224C49458BB}">
                  <c15:layout/>
                </c:ext>
              </c:extLst>
            </c:dLbl>
            <c:dLbl>
              <c:idx val="11"/>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layout>
                <c:manualLayout>
                  <c:x val="-3.3926701570680562E-2"/>
                  <c:y val="-5.716784279782109E-2"/>
                </c:manualLayout>
              </c:layout>
              <c:dLblPos val="r"/>
              <c:showVal val="1"/>
              <c:extLst>
                <c:ext xmlns:c15="http://schemas.microsoft.com/office/drawing/2012/chart" uri="{CE6537A1-D6FC-4f65-9D91-7224C49458BB}">
                  <c15:layout/>
                </c:ext>
              </c:extLst>
            </c:dLbl>
            <c:dLbl>
              <c:idx val="15"/>
              <c:delete val="1"/>
              <c:extLst>
                <c:ext xmlns:c15="http://schemas.microsoft.com/office/drawing/2012/chart" uri="{CE6537A1-D6FC-4f65-9D91-7224C49458BB}"/>
              </c:extLst>
            </c:dLbl>
            <c:dLbl>
              <c:idx val="16"/>
              <c:layout>
                <c:manualLayout>
                  <c:x val="-3.2181500872600452E-2"/>
                  <c:y val="-4.9597206375549034E-2"/>
                </c:manualLayout>
              </c:layout>
              <c:dLblPos val="r"/>
              <c:showVal val="1"/>
              <c:extLst>
                <c:ext xmlns:c15="http://schemas.microsoft.com/office/drawing/2012/chart" uri="{CE6537A1-D6FC-4f65-9D91-7224C49458BB}">
                  <c15:layout/>
                </c:ext>
              </c:extLst>
            </c:dLbl>
            <c:dLbl>
              <c:idx val="18"/>
              <c:delete val="1"/>
              <c:extLst>
                <c:ext xmlns:c15="http://schemas.microsoft.com/office/drawing/2012/chart" uri="{CE6537A1-D6FC-4f65-9D91-7224C49458BB}"/>
              </c:extLst>
            </c:dLbl>
            <c:dLbl>
              <c:idx val="19"/>
              <c:layout>
                <c:manualLayout>
                  <c:x val="-4.0234878881749467E-2"/>
                  <c:y val="-5.4176387673763003E-2"/>
                </c:manualLayout>
              </c:layout>
              <c:dLblPos val="r"/>
              <c:showVal val="1"/>
            </c:dLbl>
            <c:dLbl>
              <c:idx val="21"/>
              <c:delete val="1"/>
              <c:extLst>
                <c:ext xmlns:c15="http://schemas.microsoft.com/office/drawing/2012/chart" uri="{CE6537A1-D6FC-4f65-9D91-7224C49458BB}"/>
              </c:extLst>
            </c:dLbl>
            <c:dLbl>
              <c:idx val="23"/>
              <c:layout>
                <c:manualLayout>
                  <c:x val="-2.7879709477980918E-2"/>
                  <c:y val="-6.0387624052090319E-2"/>
                </c:manualLayout>
              </c:layout>
              <c:showVal val="1"/>
              <c:extLst>
                <c:ext xmlns:c15="http://schemas.microsoft.com/office/drawing/2012/chart" uri="{CE6537A1-D6FC-4f65-9D91-7224C49458BB}">
                  <c15:layout/>
                </c:ext>
              </c:extLst>
            </c:dLbl>
            <c:dLbl>
              <c:idx val="24"/>
              <c:delete val="1"/>
              <c:extLst>
                <c:ext xmlns:c15="http://schemas.microsoft.com/office/drawing/2012/chart" uri="{CE6537A1-D6FC-4f65-9D91-7224C49458BB}"/>
              </c:extLst>
            </c:dLbl>
            <c:dLbl>
              <c:idx val="25"/>
              <c:layout>
                <c:manualLayout>
                  <c:x val="-2.8039452601500415E-2"/>
                  <c:y val="-4.3880604790627172E-2"/>
                </c:manualLayout>
              </c:layout>
              <c:showVal val="1"/>
              <c:extLst>
                <c:ext xmlns:c15="http://schemas.microsoft.com/office/drawing/2012/chart" uri="{CE6537A1-D6FC-4f65-9D91-7224C49458BB}">
                  <c15:layout/>
                </c:ext>
              </c:extLst>
            </c:dLbl>
            <c:dLbl>
              <c:idx val="26"/>
              <c:layout>
                <c:manualLayout>
                  <c:x val="-2.8986519165635643E-2"/>
                  <c:y val="-4.7267340537844302E-2"/>
                </c:manualLayout>
              </c:layout>
              <c:dLblPos val="r"/>
              <c:showVal val="1"/>
              <c:extLst>
                <c:ext xmlns:c15="http://schemas.microsoft.com/office/drawing/2012/chart" uri="{CE6537A1-D6FC-4f65-9D91-7224C49458BB}">
                  <c15:layout/>
                </c:ext>
              </c:extLst>
            </c:dLbl>
            <c:dLbl>
              <c:idx val="27"/>
              <c:layout>
                <c:manualLayout>
                  <c:x val="-2.2695049162027619E-2"/>
                  <c:y val="-4.8310160746845014E-2"/>
                </c:manualLayout>
              </c:layout>
              <c:showVal val="1"/>
              <c:extLst>
                <c:ext xmlns:c15="http://schemas.microsoft.com/office/drawing/2012/chart" uri="{CE6537A1-D6FC-4f65-9D91-7224C49458BB}">
                  <c15:layout/>
                </c:ext>
              </c:extLst>
            </c:dLbl>
            <c:dLbl>
              <c:idx val="28"/>
              <c:layout>
                <c:manualLayout>
                  <c:x val="-1.5578542988054937E-2"/>
                  <c:y val="-4.7267340537844232E-2"/>
                </c:manualLayout>
              </c:layout>
              <c:dLblPos val="r"/>
              <c:showVal val="1"/>
              <c:extLst>
                <c:ext xmlns:c15="http://schemas.microsoft.com/office/drawing/2012/chart" uri="{CE6537A1-D6FC-4f65-9D91-7224C49458BB}">
                  <c15:layout/>
                </c:ext>
              </c:extLst>
            </c:dLbl>
            <c:dLbl>
              <c:idx val="29"/>
              <c:layout>
                <c:manualLayout>
                  <c:x val="-2.2702960131582243E-2"/>
                  <c:y val="-4.5533533232226496E-2"/>
                </c:manualLayout>
              </c:layout>
              <c:showVal val="1"/>
              <c:extLst>
                <c:ext xmlns:c15="http://schemas.microsoft.com/office/drawing/2012/chart" uri="{CE6537A1-D6FC-4f65-9D91-7224C49458BB}">
                  <c15:layout/>
                </c:ext>
              </c:extLst>
            </c:dLbl>
            <c:dLbl>
              <c:idx val="30"/>
              <c:layout>
                <c:manualLayout>
                  <c:x val="-2.2781982225638396E-2"/>
                  <c:y val="-5.4678098838198033E-2"/>
                </c:manualLayout>
              </c:layout>
              <c:showVal val="1"/>
              <c:extLst>
                <c:ext xmlns:c15="http://schemas.microsoft.com/office/drawing/2012/chart" uri="{CE6537A1-D6FC-4f65-9D91-7224C49458BB}">
                  <c15:layout/>
                </c:ext>
              </c:extLst>
            </c:dLbl>
            <c:dLbl>
              <c:idx val="31"/>
              <c:layout>
                <c:manualLayout>
                  <c:x val="-1.4019819358613251E-2"/>
                  <c:y val="-3.5150206395984443E-2"/>
                </c:manualLayout>
              </c:layout>
              <c:showVal val="1"/>
              <c:extLst>
                <c:ext xmlns:c15="http://schemas.microsoft.com/office/drawing/2012/chart" uri="{CE6537A1-D6FC-4f65-9D91-7224C49458BB}">
                  <c15:layout/>
                </c:ext>
              </c:extLst>
            </c:dLbl>
            <c:dLbl>
              <c:idx val="32"/>
              <c:layout>
                <c:manualLayout>
                  <c:x val="-1.752126057165215E-2"/>
                  <c:y val="-3.3081723143892475E-2"/>
                </c:manualLayout>
              </c:layout>
              <c:showVal val="1"/>
              <c:extLst>
                <c:ext xmlns:c15="http://schemas.microsoft.com/office/drawing/2012/chart" uri="{CE6537A1-D6FC-4f65-9D91-7224C49458BB}">
                  <c15:layout/>
                </c:ext>
              </c:extLst>
            </c:dLbl>
            <c:dLbl>
              <c:idx val="33"/>
              <c:delete val="1"/>
              <c:extLst>
                <c:ext xmlns:c15="http://schemas.microsoft.com/office/drawing/2012/chart" uri="{CE6537A1-D6FC-4f65-9D91-7224C49458BB}"/>
              </c:extLst>
            </c:dLbl>
            <c:dLbl>
              <c:idx val="34"/>
              <c:layout>
                <c:manualLayout>
                  <c:x val="-3.6583129811476295E-2"/>
                  <c:y val="-7.0341577021182211E-2"/>
                </c:manualLayout>
              </c:layout>
              <c:showVal val="1"/>
              <c:extLst>
                <c:ext xmlns:c15="http://schemas.microsoft.com/office/drawing/2012/chart" uri="{CE6537A1-D6FC-4f65-9D91-7224C49458BB}">
                  <c15:layout/>
                </c:ext>
              </c:extLst>
            </c:dLbl>
            <c:dLbl>
              <c:idx val="35"/>
              <c:layout>
                <c:manualLayout>
                  <c:x val="-3.8225709970601445E-3"/>
                  <c:y val="-1.9928598644610628E-2"/>
                </c:manualLayout>
              </c:layout>
              <c:dLblPos val="r"/>
              <c:showVal val="1"/>
              <c:extLst>
                <c:ext xmlns:c15="http://schemas.microsoft.com/office/drawing/2012/chart" uri="{CE6537A1-D6FC-4f65-9D91-7224C49458BB}">
                  <c15:layout/>
                </c:ext>
              </c:extLst>
            </c:dLbl>
            <c:spPr>
              <a:noFill/>
              <a:ln>
                <a:noFill/>
              </a:ln>
              <a:effectLst/>
            </c:spPr>
            <c:txPr>
              <a:bodyPr/>
              <a:lstStyle/>
              <a:p>
                <a:pPr>
                  <a:defRPr sz="990" b="1" baseline="0"/>
                </a:pPr>
                <a:endParaRPr lang="en-US"/>
              </a:p>
            </c:txPr>
            <c:dLblPos val="t"/>
            <c:showVal val="1"/>
            <c:extLst>
              <c:ext xmlns:c15="http://schemas.microsoft.com/office/drawing/2012/chart" uri="{CE6537A1-D6FC-4f65-9D91-7224C49458BB}">
                <c15:layout/>
                <c15:showLeaderLines val="0"/>
              </c:ext>
            </c:extLst>
          </c:dLbls>
          <c:cat>
            <c:multiLvlStrRef>
              <c:f>Sheet1!$B$26:$AK$27</c:f>
              <c:multiLvlStrCache>
                <c:ptCount val="36"/>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lvl>
                <c:lvl>
                  <c:pt idx="0">
                    <c:v>2014</c:v>
                  </c:pt>
                  <c:pt idx="12">
                    <c:v>2015</c:v>
                  </c:pt>
                  <c:pt idx="24">
                    <c:v>2016</c:v>
                  </c:pt>
                </c:lvl>
              </c:multiLvlStrCache>
            </c:multiLvlStrRef>
          </c:cat>
          <c:val>
            <c:numRef>
              <c:f>Sheet1!$B$30:$AK$30</c:f>
              <c:numCache>
                <c:formatCode>0.0</c:formatCode>
                <c:ptCount val="36"/>
                <c:pt idx="0">
                  <c:v>2.9197209968098807</c:v>
                </c:pt>
                <c:pt idx="1">
                  <c:v>3.4607894143768867</c:v>
                </c:pt>
                <c:pt idx="2">
                  <c:v>3.491822431123496</c:v>
                </c:pt>
                <c:pt idx="3">
                  <c:v>3.4290882835421428</c:v>
                </c:pt>
                <c:pt idx="4">
                  <c:v>2.4048121188133109</c:v>
                </c:pt>
                <c:pt idx="5">
                  <c:v>2.0417466428164412</c:v>
                </c:pt>
                <c:pt idx="6">
                  <c:v>2.8499122127988397</c:v>
                </c:pt>
                <c:pt idx="7">
                  <c:v>3.3766169586557377</c:v>
                </c:pt>
                <c:pt idx="8">
                  <c:v>4.7518467530162525</c:v>
                </c:pt>
                <c:pt idx="9">
                  <c:v>3.4413730227439192</c:v>
                </c:pt>
                <c:pt idx="10">
                  <c:v>2.7644191962443898</c:v>
                </c:pt>
                <c:pt idx="11">
                  <c:v>1.9515742783277688</c:v>
                </c:pt>
                <c:pt idx="12">
                  <c:v>1.3937678702680001</c:v>
                </c:pt>
                <c:pt idx="13">
                  <c:v>1.2726491042620001</c:v>
                </c:pt>
                <c:pt idx="14">
                  <c:v>2.5610902661702255</c:v>
                </c:pt>
                <c:pt idx="15">
                  <c:v>2.5165031491868737</c:v>
                </c:pt>
                <c:pt idx="16">
                  <c:v>3.4594407393892217</c:v>
                </c:pt>
                <c:pt idx="17">
                  <c:v>4.473951269824</c:v>
                </c:pt>
                <c:pt idx="18">
                  <c:v>4.8545341880660873</c:v>
                </c:pt>
                <c:pt idx="19">
                  <c:v>5.3720170190318015</c:v>
                </c:pt>
                <c:pt idx="20">
                  <c:v>5.2168320734533484</c:v>
                </c:pt>
                <c:pt idx="21">
                  <c:v>5.7949481704871459</c:v>
                </c:pt>
                <c:pt idx="22">
                  <c:v>6.2537872134742827</c:v>
                </c:pt>
                <c:pt idx="23">
                  <c:v>4.8794686046320237</c:v>
                </c:pt>
                <c:pt idx="24">
                  <c:v>5.5735396034073119</c:v>
                </c:pt>
                <c:pt idx="25">
                  <c:v>5.5745383738249945</c:v>
                </c:pt>
                <c:pt idx="26">
                  <c:v>4.0615484746310102</c:v>
                </c:pt>
                <c:pt idx="27">
                  <c:v>3.1586777978273348</c:v>
                </c:pt>
                <c:pt idx="28">
                  <c:v>2.0727701389680533</c:v>
                </c:pt>
                <c:pt idx="29">
                  <c:v>1.1417042821374306</c:v>
                </c:pt>
                <c:pt idx="30">
                  <c:v>1.5126189663670044</c:v>
                </c:pt>
                <c:pt idx="31">
                  <c:v>0.92167812646000258</c:v>
                </c:pt>
                <c:pt idx="32">
                  <c:v>0.11582424458400033</c:v>
                </c:pt>
                <c:pt idx="33">
                  <c:v>-0.15166314619568771</c:v>
                </c:pt>
                <c:pt idx="34">
                  <c:v>0.1538776830466162</c:v>
                </c:pt>
                <c:pt idx="35">
                  <c:v>1.8320023114889081</c:v>
                </c:pt>
              </c:numCache>
            </c:numRef>
          </c:val>
        </c:ser>
        <c:dLbls>
          <c:showVal val="1"/>
        </c:dLbls>
        <c:marker val="1"/>
        <c:axId val="191874560"/>
        <c:axId val="191876096"/>
      </c:lineChart>
      <c:catAx>
        <c:axId val="191874560"/>
        <c:scaling>
          <c:orientation val="minMax"/>
        </c:scaling>
        <c:axPos val="b"/>
        <c:numFmt formatCode="General" sourceLinked="1"/>
        <c:tickLblPos val="nextTo"/>
        <c:txPr>
          <a:bodyPr rot="0" vert="horz"/>
          <a:lstStyle/>
          <a:p>
            <a:pPr>
              <a:defRPr lang="ru-RU" sz="800" b="0" i="0" u="none" strike="noStrike" baseline="0">
                <a:solidFill>
                  <a:srgbClr val="000000"/>
                </a:solidFill>
                <a:latin typeface="Calibri"/>
                <a:ea typeface="Calibri"/>
                <a:cs typeface="Calibri"/>
              </a:defRPr>
            </a:pPr>
            <a:endParaRPr lang="en-US"/>
          </a:p>
        </c:txPr>
        <c:crossAx val="191876096"/>
        <c:crossesAt val="0"/>
        <c:auto val="1"/>
        <c:lblAlgn val="ctr"/>
        <c:lblOffset val="440"/>
        <c:tickLblSkip val="1"/>
        <c:tickMarkSkip val="1"/>
      </c:catAx>
      <c:valAx>
        <c:axId val="191876096"/>
        <c:scaling>
          <c:orientation val="minMax"/>
          <c:min val="-1"/>
        </c:scaling>
        <c:axPos val="l"/>
        <c:title>
          <c:tx>
            <c:rich>
              <a:bodyPr/>
              <a:lstStyle/>
              <a:p>
                <a:pPr>
                  <a:defRPr lang="ka-GE" sz="900" b="0" i="0" u="none" strike="noStrike" kern="1200" baseline="0">
                    <a:solidFill>
                      <a:srgbClr val="000000"/>
                    </a:solidFill>
                    <a:latin typeface="Calibri"/>
                    <a:ea typeface="Calibri"/>
                    <a:cs typeface="Calibri"/>
                  </a:defRPr>
                </a:pPr>
                <a:r>
                  <a:rPr lang="ka-GE" sz="900" b="0" i="0" u="none" strike="noStrike" kern="1200" baseline="0">
                    <a:solidFill>
                      <a:srgbClr val="000000"/>
                    </a:solidFill>
                    <a:latin typeface="Calibri"/>
                    <a:ea typeface="Calibri"/>
                    <a:cs typeface="Calibri"/>
                  </a:rPr>
                  <a:t>პროცენტი</a:t>
                </a:r>
              </a:p>
            </c:rich>
          </c:tx>
          <c:layout>
            <c:manualLayout>
              <c:xMode val="edge"/>
              <c:yMode val="edge"/>
              <c:x val="1.2184557168112978E-3"/>
              <c:y val="0.47754231156440646"/>
            </c:manualLayout>
          </c:layout>
        </c:title>
        <c:numFmt formatCode="0.0" sourceLinked="1"/>
        <c:tickLblPos val="nextTo"/>
        <c:txPr>
          <a:bodyPr rot="0" vert="horz"/>
          <a:lstStyle/>
          <a:p>
            <a:pPr>
              <a:defRPr lang="ru-RU" sz="800" b="0" i="0" u="none" strike="noStrike" baseline="0">
                <a:solidFill>
                  <a:srgbClr val="000000"/>
                </a:solidFill>
                <a:latin typeface="Calibri"/>
                <a:ea typeface="Calibri"/>
                <a:cs typeface="Calibri"/>
              </a:defRPr>
            </a:pPr>
            <a:endParaRPr lang="en-US"/>
          </a:p>
        </c:txPr>
        <c:crossAx val="191874560"/>
        <c:crosses val="autoZero"/>
        <c:crossBetween val="between"/>
      </c:valAx>
    </c:plotArea>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latin typeface="Sylfaen" pitchFamily="18" charset="0"/>
                <a:cs typeface="Arial" pitchFamily="34" charset="0"/>
              </a:defRPr>
            </a:pPr>
            <a:r>
              <a:rPr lang="ka-GE" sz="1000" b="1" i="0" baseline="0">
                <a:latin typeface="Sylfaen" pitchFamily="18" charset="0"/>
                <a:cs typeface="Arial" pitchFamily="34" charset="0"/>
              </a:rPr>
              <a:t>პირდაპირი უცხოური ინვესტიციები საქართველოში  20</a:t>
            </a:r>
            <a:r>
              <a:rPr lang="en-US" sz="1000" b="1" i="0" baseline="0">
                <a:latin typeface="Sylfaen" pitchFamily="18" charset="0"/>
                <a:cs typeface="Arial" pitchFamily="34" charset="0"/>
              </a:rPr>
              <a:t>1</a:t>
            </a:r>
            <a:r>
              <a:rPr lang="ka-GE" sz="1000" b="1" i="0" baseline="0">
                <a:latin typeface="Sylfaen" pitchFamily="18" charset="0"/>
                <a:cs typeface="Arial" pitchFamily="34" charset="0"/>
              </a:rPr>
              <a:t>2-2016</a:t>
            </a:r>
            <a:r>
              <a:rPr lang="en-US" sz="1000" b="1" i="0" baseline="0">
                <a:latin typeface="Sylfaen" pitchFamily="18" charset="0"/>
                <a:cs typeface="Arial" pitchFamily="34" charset="0"/>
              </a:rPr>
              <a:t>*</a:t>
            </a:r>
            <a:r>
              <a:rPr lang="ka-GE" sz="1000" b="1" i="0" baseline="0">
                <a:latin typeface="Sylfaen" pitchFamily="18" charset="0"/>
                <a:cs typeface="Arial" pitchFamily="34" charset="0"/>
              </a:rPr>
              <a:t> წწ. </a:t>
            </a:r>
            <a:endParaRPr lang="en-US" sz="1000" b="1" i="0" baseline="0">
              <a:latin typeface="Sylfaen" pitchFamily="18" charset="0"/>
              <a:cs typeface="Arial" pitchFamily="34" charset="0"/>
            </a:endParaRPr>
          </a:p>
          <a:p>
            <a:pPr>
              <a:defRPr sz="1000">
                <a:latin typeface="Sylfaen" pitchFamily="18" charset="0"/>
                <a:cs typeface="Arial" pitchFamily="34" charset="0"/>
              </a:defRPr>
            </a:pPr>
            <a:r>
              <a:rPr lang="ka-GE" sz="1000" b="0" i="0" baseline="0">
                <a:latin typeface="Sylfaen" pitchFamily="18" charset="0"/>
                <a:cs typeface="Arial" pitchFamily="34" charset="0"/>
              </a:rPr>
              <a:t>(მლნ. აშშ დოლარი)</a:t>
            </a:r>
            <a:endParaRPr lang="en-US" sz="1000" b="0" i="0" baseline="0">
              <a:latin typeface="Sylfaen" pitchFamily="18" charset="0"/>
              <a:cs typeface="Arial" pitchFamily="34" charset="0"/>
            </a:endParaRPr>
          </a:p>
        </c:rich>
      </c:tx>
    </c:title>
    <c:plotArea>
      <c:layout/>
      <c:barChart>
        <c:barDir val="col"/>
        <c:grouping val="clustered"/>
        <c:ser>
          <c:idx val="0"/>
          <c:order val="0"/>
          <c:tx>
            <c:strRef>
              <c:f>'total+'!$A$4</c:f>
              <c:strCache>
                <c:ptCount val="1"/>
                <c:pt idx="0">
                  <c:v>პირდაპირი უცხოური ინვესტიციები</c:v>
                </c:pt>
              </c:strCache>
            </c:strRef>
          </c:tx>
          <c:spPr>
            <a:solidFill>
              <a:srgbClr val="9A0000"/>
            </a:solidFill>
          </c:spPr>
          <c:dLbls>
            <c:txPr>
              <a:bodyPr/>
              <a:lstStyle/>
              <a:p>
                <a:pPr>
                  <a:defRPr>
                    <a:latin typeface="Arial" pitchFamily="34" charset="0"/>
                    <a:cs typeface="Arial" pitchFamily="34" charset="0"/>
                  </a:defRPr>
                </a:pPr>
                <a:endParaRPr lang="en-US"/>
              </a:p>
            </c:txPr>
            <c:showVal val="1"/>
          </c:dLbls>
          <c:cat>
            <c:strRef>
              <c:f>'total+'!$B$2:$G$3</c:f>
              <c:strCache>
                <c:ptCount val="5"/>
                <c:pt idx="0">
                  <c:v>2012</c:v>
                </c:pt>
                <c:pt idx="1">
                  <c:v>2013</c:v>
                </c:pt>
                <c:pt idx="2">
                  <c:v>2014</c:v>
                </c:pt>
                <c:pt idx="3">
                  <c:v>2015</c:v>
                </c:pt>
                <c:pt idx="4">
                  <c:v>2016*</c:v>
                </c:pt>
              </c:strCache>
            </c:strRef>
          </c:cat>
          <c:val>
            <c:numRef>
              <c:f>'total+'!$B$4:$F$4</c:f>
              <c:numCache>
                <c:formatCode>#,##0</c:formatCode>
                <c:ptCount val="5"/>
                <c:pt idx="0">
                  <c:v>911.56425669999749</c:v>
                </c:pt>
                <c:pt idx="1">
                  <c:v>941.90262479998944</c:v>
                </c:pt>
                <c:pt idx="2">
                  <c:v>1758.4229344999999</c:v>
                </c:pt>
                <c:pt idx="3">
                  <c:v>1564.4997678589364</c:v>
                </c:pt>
                <c:pt idx="4">
                  <c:v>1645.3685656834411</c:v>
                </c:pt>
              </c:numCache>
            </c:numRef>
          </c:val>
        </c:ser>
        <c:axId val="192923136"/>
        <c:axId val="192925056"/>
      </c:barChart>
      <c:catAx>
        <c:axId val="192923136"/>
        <c:scaling>
          <c:orientation val="minMax"/>
        </c:scaling>
        <c:axPos val="b"/>
        <c:majorTickMark val="none"/>
        <c:tickLblPos val="nextTo"/>
        <c:txPr>
          <a:bodyPr/>
          <a:lstStyle/>
          <a:p>
            <a:pPr>
              <a:defRPr>
                <a:latin typeface="Arial" pitchFamily="34" charset="0"/>
                <a:cs typeface="Arial" pitchFamily="34" charset="0"/>
              </a:defRPr>
            </a:pPr>
            <a:endParaRPr lang="en-US"/>
          </a:p>
        </c:txPr>
        <c:crossAx val="192925056"/>
        <c:crosses val="autoZero"/>
        <c:auto val="1"/>
        <c:lblAlgn val="ctr"/>
        <c:lblOffset val="100"/>
      </c:catAx>
      <c:valAx>
        <c:axId val="192925056"/>
        <c:scaling>
          <c:orientation val="minMax"/>
          <c:max val="2000"/>
          <c:min val="0"/>
        </c:scaling>
        <c:axPos val="l"/>
        <c:majorGridlines>
          <c:spPr>
            <a:ln>
              <a:solidFill>
                <a:schemeClr val="bg1"/>
              </a:solidFill>
            </a:ln>
          </c:spPr>
        </c:majorGridlines>
        <c:numFmt formatCode="#,##0" sourceLinked="1"/>
        <c:majorTickMark val="none"/>
        <c:tickLblPos val="nextTo"/>
        <c:txPr>
          <a:bodyPr/>
          <a:lstStyle/>
          <a:p>
            <a:pPr>
              <a:defRPr>
                <a:latin typeface="Arial" pitchFamily="34" charset="0"/>
                <a:cs typeface="Arial" pitchFamily="34" charset="0"/>
              </a:defRPr>
            </a:pPr>
            <a:endParaRPr lang="en-US"/>
          </a:p>
        </c:txPr>
        <c:crossAx val="192923136"/>
        <c:crosses val="autoZero"/>
        <c:crossBetween val="between"/>
        <c:majorUnit val="500"/>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ru-RU"/>
            </a:pPr>
            <a:r>
              <a:rPr lang="ka-GE" sz="1000" b="1" i="0" baseline="0">
                <a:latin typeface="Sylfaen" pitchFamily="18" charset="0"/>
              </a:rPr>
              <a:t>პირდაპირი უცხოური ინვესტიციები და რეინვესტიცია საქართველოში </a:t>
            </a:r>
            <a:endParaRPr lang="en-US" sz="1000" b="1" i="0" baseline="0">
              <a:latin typeface="Sylfaen" pitchFamily="18" charset="0"/>
            </a:endParaRPr>
          </a:p>
          <a:p>
            <a:pPr>
              <a:defRPr lang="ru-RU"/>
            </a:pPr>
            <a:r>
              <a:rPr lang="ka-GE" sz="1000" b="1" i="0" baseline="0">
                <a:latin typeface="Sylfaen" pitchFamily="18" charset="0"/>
              </a:rPr>
              <a:t>201</a:t>
            </a:r>
            <a:r>
              <a:rPr lang="en-US" sz="1000" b="1" i="0" baseline="0">
                <a:latin typeface="Sylfaen" pitchFamily="18" charset="0"/>
              </a:rPr>
              <a:t>2</a:t>
            </a:r>
            <a:r>
              <a:rPr lang="ka-GE" sz="1000" b="1" i="0" baseline="0">
                <a:latin typeface="Sylfaen" pitchFamily="18" charset="0"/>
              </a:rPr>
              <a:t>-201</a:t>
            </a:r>
            <a:r>
              <a:rPr lang="en-US" sz="1000" b="1" i="0" baseline="0">
                <a:latin typeface="Sylfaen" pitchFamily="18" charset="0"/>
              </a:rPr>
              <a:t>6</a:t>
            </a:r>
            <a:r>
              <a:rPr lang="ka-GE" sz="1000" b="1" i="0" baseline="0">
                <a:latin typeface="Sylfaen" pitchFamily="18" charset="0"/>
              </a:rPr>
              <a:t>* წწ. (მლნ. აშშ დოლარი)</a:t>
            </a:r>
            <a:endParaRPr lang="en-US" sz="1000" b="1" i="0" baseline="0">
              <a:latin typeface="Sylfaen" pitchFamily="18" charset="0"/>
            </a:endParaRPr>
          </a:p>
          <a:p>
            <a:pPr>
              <a:defRPr lang="ru-RU"/>
            </a:pPr>
            <a:endParaRPr lang="ru-RU" sz="1000" b="1" i="0" baseline="0">
              <a:latin typeface="Arial" pitchFamily="34" charset="0"/>
              <a:cs typeface="Arial" pitchFamily="34" charset="0"/>
            </a:endParaRPr>
          </a:p>
        </c:rich>
      </c:tx>
      <c:layout>
        <c:manualLayout>
          <c:xMode val="edge"/>
          <c:yMode val="edge"/>
          <c:x val="0.18132529106938591"/>
          <c:y val="2.0899478754734011E-2"/>
        </c:manualLayout>
      </c:layout>
    </c:title>
    <c:plotArea>
      <c:layout/>
      <c:barChart>
        <c:barDir val="col"/>
        <c:grouping val="stacked"/>
        <c:ser>
          <c:idx val="0"/>
          <c:order val="0"/>
          <c:tx>
            <c:strRef>
              <c:f>'reinv-Geo-2016'!$B$3</c:f>
              <c:strCache>
                <c:ptCount val="1"/>
                <c:pt idx="0">
                  <c:v>რეინვესტიცია</c:v>
                </c:pt>
              </c:strCache>
            </c:strRef>
          </c:tx>
          <c:spPr>
            <a:solidFill>
              <a:srgbClr val="C00000"/>
            </a:solidFill>
          </c:spPr>
          <c:dLbls>
            <c:dLbl>
              <c:idx val="0"/>
              <c:layout>
                <c:manualLayout>
                  <c:x val="6.1534236471562096E-3"/>
                  <c:y val="-3.706224701452042E-3"/>
                </c:manualLayout>
              </c:layout>
              <c:showVal val="1"/>
            </c:dLbl>
            <c:dLbl>
              <c:idx val="1"/>
              <c:layout>
                <c:manualLayout>
                  <c:x val="6.2438159355641919E-3"/>
                  <c:y val="2.9165408032435828E-3"/>
                </c:manualLayout>
              </c:layout>
              <c:showVal val="1"/>
            </c:dLbl>
            <c:dLbl>
              <c:idx val="2"/>
              <c:layout>
                <c:manualLayout>
                  <c:x val="1.9867471722985765E-3"/>
                  <c:y val="-7.3136382248894134E-3"/>
                </c:manualLayout>
              </c:layout>
              <c:showVal val="1"/>
            </c:dLbl>
            <c:dLbl>
              <c:idx val="3"/>
              <c:layout>
                <c:manualLayout>
                  <c:x val="4.4521340662013662E-4"/>
                  <c:y val="3.0150834726221892E-3"/>
                </c:manualLayout>
              </c:layout>
              <c:showVal val="1"/>
            </c:dLbl>
            <c:dLbl>
              <c:idx val="4"/>
              <c:layout>
                <c:manualLayout>
                  <c:x val="1.9930244145490781E-3"/>
                  <c:y val="-3.4100596760443312E-3"/>
                </c:manualLayout>
              </c:layout>
              <c:showVal val="1"/>
            </c:dLbl>
            <c:txPr>
              <a:bodyPr/>
              <a:lstStyle/>
              <a:p>
                <a:pPr>
                  <a:defRPr lang="ru-RU" b="0">
                    <a:latin typeface="Arial" pitchFamily="34" charset="0"/>
                    <a:cs typeface="Arial" pitchFamily="34" charset="0"/>
                  </a:defRPr>
                </a:pPr>
                <a:endParaRPr lang="en-US"/>
              </a:p>
            </c:txPr>
            <c:showVal val="1"/>
          </c:dLbls>
          <c:cat>
            <c:strRef>
              <c:f>'reinv-Geo-2016'!$A$8:$A$12</c:f>
              <c:strCache>
                <c:ptCount val="5"/>
                <c:pt idx="0">
                  <c:v>2012</c:v>
                </c:pt>
                <c:pt idx="1">
                  <c:v>2013</c:v>
                </c:pt>
                <c:pt idx="2">
                  <c:v>2014</c:v>
                </c:pt>
                <c:pt idx="3">
                  <c:v>2015</c:v>
                </c:pt>
                <c:pt idx="4">
                  <c:v>2016*</c:v>
                </c:pt>
              </c:strCache>
            </c:strRef>
          </c:cat>
          <c:val>
            <c:numRef>
              <c:f>'reinv-Geo-2016'!$B$8:$B$12</c:f>
              <c:numCache>
                <c:formatCode>#,##0</c:formatCode>
                <c:ptCount val="5"/>
                <c:pt idx="0">
                  <c:v>119.91326786340656</c:v>
                </c:pt>
                <c:pt idx="1">
                  <c:v>268</c:v>
                </c:pt>
                <c:pt idx="2">
                  <c:v>311.63324233163962</c:v>
                </c:pt>
                <c:pt idx="3">
                  <c:v>146</c:v>
                </c:pt>
                <c:pt idx="4">
                  <c:v>519</c:v>
                </c:pt>
              </c:numCache>
            </c:numRef>
          </c:val>
        </c:ser>
        <c:ser>
          <c:idx val="1"/>
          <c:order val="1"/>
          <c:tx>
            <c:strRef>
              <c:f>'reinv-Geo-2016'!$C$3</c:f>
              <c:strCache>
                <c:ptCount val="1"/>
                <c:pt idx="0">
                  <c:v>პირდაპირი უცხოური ინვესტიცია</c:v>
                </c:pt>
              </c:strCache>
            </c:strRef>
          </c:tx>
          <c:spPr>
            <a:solidFill>
              <a:srgbClr val="00297A"/>
            </a:solidFill>
          </c:spPr>
          <c:dLbls>
            <c:dLbl>
              <c:idx val="0"/>
              <c:layout>
                <c:manualLayout>
                  <c:x val="0"/>
                  <c:y val="-0.15932100448362721"/>
                </c:manualLayout>
              </c:layout>
              <c:tx>
                <c:rich>
                  <a:bodyPr/>
                  <a:lstStyle/>
                  <a:p>
                    <a:r>
                      <a:rPr lang="en-US" b="0"/>
                      <a:t>912</a:t>
                    </a:r>
                  </a:p>
                </c:rich>
              </c:tx>
              <c:showVal val="1"/>
            </c:dLbl>
            <c:dLbl>
              <c:idx val="1"/>
              <c:layout>
                <c:manualLayout>
                  <c:x val="-1.6824819974426426E-7"/>
                  <c:y val="-0.14155034700196317"/>
                </c:manualLayout>
              </c:layout>
              <c:tx>
                <c:rich>
                  <a:bodyPr/>
                  <a:lstStyle/>
                  <a:p>
                    <a:r>
                      <a:rPr lang="en-US" b="0"/>
                      <a:t>942</a:t>
                    </a:r>
                  </a:p>
                </c:rich>
              </c:tx>
              <c:showVal val="1"/>
            </c:dLbl>
            <c:dLbl>
              <c:idx val="2"/>
              <c:layout>
                <c:manualLayout>
                  <c:x val="2.0832492092334614E-3"/>
                  <c:y val="-0.26125320210873371"/>
                </c:manualLayout>
              </c:layout>
              <c:tx>
                <c:rich>
                  <a:bodyPr/>
                  <a:lstStyle/>
                  <a:p>
                    <a:r>
                      <a:rPr lang="en-US" b="0"/>
                      <a:t>1 758</a:t>
                    </a:r>
                  </a:p>
                </c:rich>
              </c:tx>
              <c:showVal val="1"/>
            </c:dLbl>
            <c:dLbl>
              <c:idx val="3"/>
              <c:layout>
                <c:manualLayout>
                  <c:x val="-1.9930681741704686E-3"/>
                  <c:y val="-0.26152421725481373"/>
                </c:manualLayout>
              </c:layout>
              <c:tx>
                <c:rich>
                  <a:bodyPr/>
                  <a:lstStyle/>
                  <a:p>
                    <a:r>
                      <a:rPr lang="en-US" b="0"/>
                      <a:t>1 564</a:t>
                    </a:r>
                  </a:p>
                </c:rich>
              </c:tx>
              <c:showVal val="1"/>
            </c:dLbl>
            <c:dLbl>
              <c:idx val="4"/>
              <c:layout>
                <c:manualLayout>
                  <c:x val="0"/>
                  <c:y val="-0.20885739042647225"/>
                </c:manualLayout>
              </c:layout>
              <c:tx>
                <c:rich>
                  <a:bodyPr/>
                  <a:lstStyle/>
                  <a:p>
                    <a:r>
                      <a:rPr lang="en-US" b="0"/>
                      <a:t>1 645</a:t>
                    </a:r>
                  </a:p>
                </c:rich>
              </c:tx>
              <c:showVal val="1"/>
            </c:dLbl>
            <c:dLbl>
              <c:idx val="5"/>
              <c:layout>
                <c:manualLayout>
                  <c:x val="1.9930244145490781E-3"/>
                  <c:y val="-0.13100965959817681"/>
                </c:manualLayout>
              </c:layout>
              <c:tx>
                <c:rich>
                  <a:bodyPr/>
                  <a:lstStyle/>
                  <a:p>
                    <a:r>
                      <a:rPr lang="en-US" b="0"/>
                      <a:t>942</a:t>
                    </a:r>
                  </a:p>
                </c:rich>
              </c:tx>
              <c:showVal val="1"/>
            </c:dLbl>
            <c:dLbl>
              <c:idx val="6"/>
              <c:layout>
                <c:manualLayout>
                  <c:x val="0"/>
                  <c:y val="-0.14322250639386189"/>
                </c:manualLayout>
              </c:layout>
              <c:tx>
                <c:rich>
                  <a:bodyPr/>
                  <a:lstStyle/>
                  <a:p>
                    <a:r>
                      <a:rPr lang="en-US" b="0"/>
                      <a:t>912</a:t>
                    </a:r>
                    <a:endParaRPr b="0"/>
                  </a:p>
                </c:rich>
              </c:tx>
              <c:showVal val="1"/>
            </c:dLbl>
            <c:txPr>
              <a:bodyPr/>
              <a:lstStyle/>
              <a:p>
                <a:pPr>
                  <a:defRPr lang="ru-RU" b="0">
                    <a:latin typeface="Arial" pitchFamily="34" charset="0"/>
                    <a:cs typeface="Arial" pitchFamily="34" charset="0"/>
                  </a:defRPr>
                </a:pPr>
                <a:endParaRPr lang="en-US"/>
              </a:p>
            </c:txPr>
            <c:showVal val="1"/>
          </c:dLbls>
          <c:cat>
            <c:strRef>
              <c:f>'reinv-Geo-2016'!$A$8:$A$12</c:f>
              <c:strCache>
                <c:ptCount val="5"/>
                <c:pt idx="0">
                  <c:v>2012</c:v>
                </c:pt>
                <c:pt idx="1">
                  <c:v>2013</c:v>
                </c:pt>
                <c:pt idx="2">
                  <c:v>2014</c:v>
                </c:pt>
                <c:pt idx="3">
                  <c:v>2015</c:v>
                </c:pt>
                <c:pt idx="4">
                  <c:v>2016*</c:v>
                </c:pt>
              </c:strCache>
            </c:strRef>
          </c:cat>
          <c:val>
            <c:numRef>
              <c:f>'reinv-Geo-2016'!$C$8:$C$12</c:f>
              <c:numCache>
                <c:formatCode>#,##0</c:formatCode>
                <c:ptCount val="5"/>
                <c:pt idx="0">
                  <c:v>791.65098883659357</c:v>
                </c:pt>
                <c:pt idx="1">
                  <c:v>673.90262479998921</c:v>
                </c:pt>
                <c:pt idx="2">
                  <c:v>1446.7896755888319</c:v>
                </c:pt>
                <c:pt idx="3">
                  <c:v>1418</c:v>
                </c:pt>
                <c:pt idx="4">
                  <c:v>1126</c:v>
                </c:pt>
              </c:numCache>
            </c:numRef>
          </c:val>
        </c:ser>
        <c:gapWidth val="126"/>
        <c:overlap val="100"/>
        <c:axId val="102367616"/>
        <c:axId val="102369152"/>
      </c:barChart>
      <c:catAx>
        <c:axId val="102367616"/>
        <c:scaling>
          <c:orientation val="minMax"/>
        </c:scaling>
        <c:axPos val="b"/>
        <c:numFmt formatCode="General" sourceLinked="1"/>
        <c:majorTickMark val="none"/>
        <c:tickLblPos val="nextTo"/>
        <c:txPr>
          <a:bodyPr/>
          <a:lstStyle/>
          <a:p>
            <a:pPr>
              <a:defRPr lang="ru-RU" b="1">
                <a:latin typeface="Arial" pitchFamily="34" charset="0"/>
                <a:cs typeface="Arial" pitchFamily="34" charset="0"/>
              </a:defRPr>
            </a:pPr>
            <a:endParaRPr lang="en-US"/>
          </a:p>
        </c:txPr>
        <c:crossAx val="102369152"/>
        <c:crosses val="autoZero"/>
        <c:auto val="1"/>
        <c:lblAlgn val="ctr"/>
        <c:lblOffset val="100"/>
      </c:catAx>
      <c:valAx>
        <c:axId val="102369152"/>
        <c:scaling>
          <c:orientation val="minMax"/>
          <c:max val="2000"/>
          <c:min val="0"/>
        </c:scaling>
        <c:axPos val="l"/>
        <c:majorGridlines>
          <c:spPr>
            <a:ln>
              <a:solidFill>
                <a:schemeClr val="bg1"/>
              </a:solidFill>
            </a:ln>
          </c:spPr>
        </c:majorGridlines>
        <c:numFmt formatCode="#,##0" sourceLinked="1"/>
        <c:majorTickMark val="none"/>
        <c:tickLblPos val="nextTo"/>
        <c:txPr>
          <a:bodyPr/>
          <a:lstStyle/>
          <a:p>
            <a:pPr>
              <a:defRPr lang="ru-RU">
                <a:latin typeface="Arial" pitchFamily="34" charset="0"/>
                <a:cs typeface="Arial" pitchFamily="34" charset="0"/>
              </a:defRPr>
            </a:pPr>
            <a:endParaRPr lang="en-US"/>
          </a:p>
        </c:txPr>
        <c:crossAx val="102367616"/>
        <c:crosses val="autoZero"/>
        <c:crossBetween val="between"/>
        <c:majorUnit val="500"/>
        <c:minorUnit val="100"/>
      </c:valAx>
    </c:plotArea>
    <c:legend>
      <c:legendPos val="b"/>
      <c:txPr>
        <a:bodyPr/>
        <a:lstStyle/>
        <a:p>
          <a:pPr>
            <a:defRPr lang="ru-RU"/>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a:latin typeface="Sylfaen" pitchFamily="18" charset="0"/>
              </a:defRPr>
            </a:pPr>
            <a:r>
              <a:rPr lang="ka-GE" sz="1000">
                <a:latin typeface="Sylfaen" pitchFamily="18" charset="0"/>
              </a:rPr>
              <a:t>პირდაპირი უცხოური ინვესტიციები</a:t>
            </a:r>
            <a:r>
              <a:rPr lang="ka-GE" sz="1000" baseline="0">
                <a:latin typeface="Sylfaen" pitchFamily="18" charset="0"/>
              </a:rPr>
              <a:t> საქართველოში </a:t>
            </a:r>
          </a:p>
          <a:p>
            <a:pPr>
              <a:defRPr sz="1000">
                <a:latin typeface="Sylfaen" pitchFamily="18" charset="0"/>
              </a:defRPr>
            </a:pPr>
            <a:r>
              <a:rPr lang="ka-GE" sz="1000" baseline="0">
                <a:latin typeface="Sylfaen" pitchFamily="18" charset="0"/>
                <a:cs typeface="Arial" pitchFamily="34" charset="0"/>
              </a:rPr>
              <a:t>201</a:t>
            </a:r>
            <a:r>
              <a:rPr lang="en-US" sz="1000" baseline="0">
                <a:latin typeface="Sylfaen" pitchFamily="18" charset="0"/>
                <a:cs typeface="Arial" pitchFamily="34" charset="0"/>
              </a:rPr>
              <a:t>6*</a:t>
            </a:r>
            <a:r>
              <a:rPr lang="ka-GE" sz="1000" baseline="0">
                <a:latin typeface="Sylfaen" pitchFamily="18" charset="0"/>
                <a:cs typeface="Arial" pitchFamily="34" charset="0"/>
              </a:rPr>
              <a:t> </a:t>
            </a:r>
            <a:r>
              <a:rPr lang="ka-GE" sz="1000" baseline="0">
                <a:latin typeface="Sylfaen" pitchFamily="18" charset="0"/>
              </a:rPr>
              <a:t>წელს (მლნ. აშშ დოლარი)</a:t>
            </a:r>
            <a:endParaRPr lang="en-US" sz="1000">
              <a:latin typeface="Sylfaen" pitchFamily="18" charset="0"/>
            </a:endParaRPr>
          </a:p>
        </c:rich>
      </c:tx>
      <c:layout>
        <c:manualLayout>
          <c:xMode val="edge"/>
          <c:yMode val="edge"/>
          <c:x val="0.26326682341043439"/>
          <c:y val="8.3836657543404699E-4"/>
        </c:manualLayout>
      </c:layout>
    </c:title>
    <c:plotArea>
      <c:layout>
        <c:manualLayout>
          <c:layoutTarget val="inner"/>
          <c:xMode val="edge"/>
          <c:yMode val="edge"/>
          <c:x val="7.8354799264025304E-2"/>
          <c:y val="0.20600555940976925"/>
          <c:w val="0.90616382676403451"/>
          <c:h val="0.36472093850381432"/>
        </c:manualLayout>
      </c:layout>
      <c:barChart>
        <c:barDir val="col"/>
        <c:grouping val="clustered"/>
        <c:ser>
          <c:idx val="0"/>
          <c:order val="0"/>
          <c:spPr>
            <a:solidFill>
              <a:srgbClr val="092093"/>
            </a:solidFill>
          </c:spPr>
          <c:dLbls>
            <c:numFmt formatCode="#,##0" sourceLinked="0"/>
            <c:txPr>
              <a:bodyPr/>
              <a:lstStyle/>
              <a:p>
                <a:pPr>
                  <a:defRPr>
                    <a:latin typeface="Arial" pitchFamily="34" charset="0"/>
                    <a:cs typeface="Arial" pitchFamily="34" charset="0"/>
                  </a:defRPr>
                </a:pPr>
                <a:endParaRPr lang="en-US"/>
              </a:p>
            </c:txPr>
            <c:showVal val="1"/>
          </c:dLbls>
          <c:cat>
            <c:strRef>
              <c:f>'ქვეყნები+'!$A$6:$A$14</c:f>
              <c:strCache>
                <c:ptCount val="9"/>
                <c:pt idx="0">
                  <c:v>აზერბაიჯანი</c:v>
                </c:pt>
                <c:pt idx="1">
                  <c:v>თურქეთი</c:v>
                </c:pt>
                <c:pt idx="2">
                  <c:v>გაერთიანებული სამეფო</c:v>
                </c:pt>
                <c:pt idx="3">
                  <c:v>ნიდერლანდები</c:v>
                </c:pt>
                <c:pt idx="4">
                  <c:v>ჩეხეთი</c:v>
                </c:pt>
                <c:pt idx="5">
                  <c:v>ლუქსემბურგი</c:v>
                </c:pt>
                <c:pt idx="6">
                  <c:v>პანამა</c:v>
                </c:pt>
                <c:pt idx="7">
                  <c:v>აშშ</c:v>
                </c:pt>
                <c:pt idx="8">
                  <c:v>კვიპროსი</c:v>
                </c:pt>
              </c:strCache>
            </c:strRef>
          </c:cat>
          <c:val>
            <c:numRef>
              <c:f>'ქვეყნები+'!$F$6:$F$14</c:f>
              <c:numCache>
                <c:formatCode>0</c:formatCode>
                <c:ptCount val="9"/>
                <c:pt idx="0">
                  <c:v>578.3823364751305</c:v>
                </c:pt>
                <c:pt idx="1">
                  <c:v>272.31592511634238</c:v>
                </c:pt>
                <c:pt idx="2">
                  <c:v>120.7840216648634</c:v>
                </c:pt>
                <c:pt idx="3">
                  <c:v>95.367339390933779</c:v>
                </c:pt>
                <c:pt idx="4">
                  <c:v>93.093532499999981</c:v>
                </c:pt>
                <c:pt idx="5">
                  <c:v>78.596020423243743</c:v>
                </c:pt>
                <c:pt idx="6">
                  <c:v>77.539170900000002</c:v>
                </c:pt>
                <c:pt idx="7">
                  <c:v>45.017469705196049</c:v>
                </c:pt>
                <c:pt idx="8">
                  <c:v>38.253163957653094</c:v>
                </c:pt>
              </c:numCache>
            </c:numRef>
          </c:val>
        </c:ser>
        <c:axId val="102389632"/>
        <c:axId val="102391168"/>
      </c:barChart>
      <c:catAx>
        <c:axId val="102389632"/>
        <c:scaling>
          <c:orientation val="minMax"/>
        </c:scaling>
        <c:axPos val="b"/>
        <c:numFmt formatCode="000" sourceLinked="1"/>
        <c:majorTickMark val="none"/>
        <c:tickLblPos val="nextTo"/>
        <c:txPr>
          <a:bodyPr/>
          <a:lstStyle/>
          <a:p>
            <a:pPr>
              <a:defRPr sz="900">
                <a:latin typeface="Sylfaen" pitchFamily="18" charset="0"/>
              </a:defRPr>
            </a:pPr>
            <a:endParaRPr lang="en-US"/>
          </a:p>
        </c:txPr>
        <c:crossAx val="102391168"/>
        <c:crosses val="autoZero"/>
        <c:auto val="1"/>
        <c:lblAlgn val="ctr"/>
        <c:lblOffset val="100"/>
      </c:catAx>
      <c:valAx>
        <c:axId val="102391168"/>
        <c:scaling>
          <c:orientation val="minMax"/>
          <c:max val="600"/>
        </c:scaling>
        <c:axPos val="l"/>
        <c:majorGridlines>
          <c:spPr>
            <a:ln>
              <a:solidFill>
                <a:schemeClr val="bg1"/>
              </a:solidFill>
            </a:ln>
          </c:spPr>
        </c:majorGridlines>
        <c:numFmt formatCode="#,##0" sourceLinked="0"/>
        <c:majorTickMark val="none"/>
        <c:tickLblPos val="nextTo"/>
        <c:txPr>
          <a:bodyPr/>
          <a:lstStyle/>
          <a:p>
            <a:pPr>
              <a:defRPr>
                <a:latin typeface="Arial" pitchFamily="34" charset="0"/>
                <a:cs typeface="Arial" pitchFamily="34" charset="0"/>
              </a:defRPr>
            </a:pPr>
            <a:endParaRPr lang="en-US"/>
          </a:p>
        </c:txPr>
        <c:crossAx val="102389632"/>
        <c:crosses val="autoZero"/>
        <c:crossBetween val="between"/>
        <c:majorUnit val="150"/>
      </c:valAx>
    </c:plotArea>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ka-GE" sz="1000"/>
              <a:t>უმსხვილესი ინვესტორი ქვეყნების წილი  201</a:t>
            </a:r>
            <a:r>
              <a:rPr lang="en-US" sz="1000"/>
              <a:t>6*</a:t>
            </a:r>
            <a:r>
              <a:rPr lang="ka-GE" sz="1000"/>
              <a:t> წელს (%) </a:t>
            </a:r>
            <a:endParaRPr lang="en-US" sz="1000"/>
          </a:p>
        </c:rich>
      </c:tx>
      <c:layout>
        <c:manualLayout>
          <c:xMode val="edge"/>
          <c:yMode val="edge"/>
          <c:x val="0.21454398660216195"/>
          <c:y val="1.3234074302553881E-2"/>
        </c:manualLayout>
      </c:layout>
    </c:title>
    <c:plotArea>
      <c:layout>
        <c:manualLayout>
          <c:layoutTarget val="inner"/>
          <c:xMode val="edge"/>
          <c:yMode val="edge"/>
          <c:x val="0.29648234395718853"/>
          <c:y val="0.12448486948372282"/>
          <c:w val="0.4919465503053293"/>
          <c:h val="0.70923305934283953"/>
        </c:manualLayout>
      </c:layout>
      <c:pieChart>
        <c:varyColors val="1"/>
        <c:ser>
          <c:idx val="0"/>
          <c:order val="0"/>
          <c:dLbls>
            <c:dLbl>
              <c:idx val="0"/>
              <c:layout>
                <c:manualLayout>
                  <c:x val="-0.19934691307919444"/>
                  <c:y val="0.10182395763428972"/>
                </c:manualLayout>
              </c:layout>
              <c:tx>
                <c:rich>
                  <a:bodyPr/>
                  <a:lstStyle/>
                  <a:p>
                    <a:r>
                      <a:rPr lang="ka-GE" sz="900"/>
                      <a:t>აზერბაიჯანი</a:t>
                    </a:r>
                  </a:p>
                  <a:p>
                    <a:r>
                      <a:rPr lang="ka-GE" sz="900"/>
                      <a:t> 35</a:t>
                    </a:r>
                  </a:p>
                </c:rich>
              </c:tx>
              <c:showVal val="1"/>
              <c:showCatName val="1"/>
              <c:separator>
</c:separator>
            </c:dLbl>
            <c:dLbl>
              <c:idx val="1"/>
              <c:layout>
                <c:manualLayout>
                  <c:x val="4.7296308329595853E-2"/>
                  <c:y val="-3.5396720033679156E-2"/>
                </c:manualLayout>
              </c:layout>
              <c:tx>
                <c:rich>
                  <a:bodyPr/>
                  <a:lstStyle/>
                  <a:p>
                    <a:r>
                      <a:rPr lang="ka-GE" sz="900"/>
                      <a:t>თურქეთი</a:t>
                    </a:r>
                  </a:p>
                  <a:p>
                    <a:r>
                      <a:rPr lang="ka-GE" sz="900"/>
                      <a:t> 17</a:t>
                    </a:r>
                  </a:p>
                </c:rich>
              </c:tx>
              <c:showVal val="1"/>
              <c:showCatName val="1"/>
              <c:separator>
</c:separator>
            </c:dLbl>
            <c:dLbl>
              <c:idx val="2"/>
              <c:layout>
                <c:manualLayout>
                  <c:x val="-2.1758332889669561E-3"/>
                  <c:y val="5.705043667432564E-3"/>
                </c:manualLayout>
              </c:layout>
              <c:tx>
                <c:rich>
                  <a:bodyPr/>
                  <a:lstStyle/>
                  <a:p>
                    <a:r>
                      <a:rPr lang="ka-GE" sz="900"/>
                      <a:t>გაერთიანებული სამეფო</a:t>
                    </a:r>
                  </a:p>
                  <a:p>
                    <a:r>
                      <a:rPr lang="ka-GE" sz="900"/>
                      <a:t> 7</a:t>
                    </a:r>
                  </a:p>
                </c:rich>
              </c:tx>
              <c:showVal val="1"/>
              <c:showCatName val="1"/>
              <c:separator>
</c:separator>
            </c:dLbl>
            <c:dLbl>
              <c:idx val="3"/>
              <c:layout>
                <c:manualLayout>
                  <c:x val="-8.3326953635204065E-2"/>
                  <c:y val="1.4494279780049196E-2"/>
                </c:manualLayout>
              </c:layout>
              <c:tx>
                <c:rich>
                  <a:bodyPr/>
                  <a:lstStyle/>
                  <a:p>
                    <a:r>
                      <a:rPr lang="ka-GE" sz="900"/>
                      <a:t>ნიდერლანდები</a:t>
                    </a:r>
                  </a:p>
                  <a:p>
                    <a:r>
                      <a:rPr lang="ka-GE" sz="900"/>
                      <a:t> 6</a:t>
                    </a:r>
                  </a:p>
                </c:rich>
              </c:tx>
              <c:showVal val="1"/>
              <c:showCatName val="1"/>
              <c:separator>
</c:separator>
            </c:dLbl>
            <c:dLbl>
              <c:idx val="4"/>
              <c:layout>
                <c:manualLayout>
                  <c:x val="-4.9917907866714829E-2"/>
                  <c:y val="2.6472577330760211E-2"/>
                </c:manualLayout>
              </c:layout>
              <c:tx>
                <c:rich>
                  <a:bodyPr/>
                  <a:lstStyle/>
                  <a:p>
                    <a:r>
                      <a:rPr lang="ka-GE" sz="900"/>
                      <a:t>ჩეხეთი </a:t>
                    </a:r>
                  </a:p>
                  <a:p>
                    <a:r>
                      <a:rPr lang="ka-GE" sz="900"/>
                      <a:t>6</a:t>
                    </a:r>
                  </a:p>
                </c:rich>
              </c:tx>
              <c:showVal val="1"/>
              <c:showCatName val="1"/>
              <c:separator>
</c:separator>
            </c:dLbl>
            <c:dLbl>
              <c:idx val="5"/>
              <c:layout>
                <c:manualLayout>
                  <c:x val="-3.9584924248639235E-2"/>
                  <c:y val="3.4244469824226485E-2"/>
                </c:manualLayout>
              </c:layout>
              <c:tx>
                <c:rich>
                  <a:bodyPr/>
                  <a:lstStyle/>
                  <a:p>
                    <a:r>
                      <a:rPr lang="ka-GE" sz="900"/>
                      <a:t>ლუქსემბურგი </a:t>
                    </a:r>
                  </a:p>
                  <a:p>
                    <a:r>
                      <a:rPr lang="ka-GE" sz="900"/>
                      <a:t>5</a:t>
                    </a:r>
                  </a:p>
                </c:rich>
              </c:tx>
              <c:showVal val="1"/>
              <c:showCatName val="1"/>
              <c:separator>
</c:separator>
            </c:dLbl>
            <c:dLbl>
              <c:idx val="6"/>
              <c:layout>
                <c:manualLayout>
                  <c:x val="-5.8901060457612592E-2"/>
                  <c:y val="1.9256099136763221E-2"/>
                </c:manualLayout>
              </c:layout>
              <c:tx>
                <c:rich>
                  <a:bodyPr/>
                  <a:lstStyle/>
                  <a:p>
                    <a:r>
                      <a:rPr lang="ka-GE" sz="900"/>
                      <a:t>პანამა </a:t>
                    </a:r>
                  </a:p>
                  <a:p>
                    <a:r>
                      <a:rPr lang="ka-GE" sz="900"/>
                      <a:t>5</a:t>
                    </a:r>
                  </a:p>
                </c:rich>
              </c:tx>
              <c:showVal val="1"/>
              <c:showCatName val="1"/>
              <c:separator>
</c:separator>
            </c:dLbl>
            <c:dLbl>
              <c:idx val="7"/>
              <c:layout>
                <c:manualLayout>
                  <c:x val="-3.0316445929238468E-2"/>
                  <c:y val="-2.1671057183706151E-2"/>
                </c:manualLayout>
              </c:layout>
              <c:tx>
                <c:rich>
                  <a:bodyPr/>
                  <a:lstStyle/>
                  <a:p>
                    <a:r>
                      <a:rPr lang="ka-GE" sz="900"/>
                      <a:t>აშშ</a:t>
                    </a:r>
                  </a:p>
                  <a:p>
                    <a:r>
                      <a:rPr lang="ka-GE" sz="900"/>
                      <a:t> 3</a:t>
                    </a:r>
                  </a:p>
                </c:rich>
              </c:tx>
              <c:showVal val="1"/>
              <c:showCatName val="1"/>
              <c:separator>
</c:separator>
            </c:dLbl>
            <c:dLbl>
              <c:idx val="8"/>
              <c:layout>
                <c:manualLayout>
                  <c:x val="4.6655003066483375E-2"/>
                  <c:y val="-4.4984650557915534E-2"/>
                </c:manualLayout>
              </c:layout>
              <c:tx>
                <c:rich>
                  <a:bodyPr/>
                  <a:lstStyle/>
                  <a:p>
                    <a:r>
                      <a:rPr lang="ka-GE" sz="900"/>
                      <a:t>კვიპროსი</a:t>
                    </a:r>
                  </a:p>
                  <a:p>
                    <a:r>
                      <a:rPr lang="ka-GE" sz="900"/>
                      <a:t> 2</a:t>
                    </a:r>
                  </a:p>
                </c:rich>
              </c:tx>
              <c:showVal val="1"/>
              <c:showCatName val="1"/>
              <c:separator>
</c:separator>
            </c:dLbl>
            <c:dLbl>
              <c:idx val="9"/>
              <c:layout>
                <c:manualLayout>
                  <c:x val="9.8788296260263544E-2"/>
                  <c:y val="0.18024132580274244"/>
                </c:manualLayout>
              </c:layout>
              <c:showVal val="1"/>
              <c:showCatName val="1"/>
              <c:separator>
</c:separator>
            </c:dLbl>
            <c:txPr>
              <a:bodyPr/>
              <a:lstStyle/>
              <a:p>
                <a:pPr>
                  <a:defRPr sz="900"/>
                </a:pPr>
                <a:endParaRPr lang="en-US"/>
              </a:p>
            </c:txPr>
            <c:showVal val="1"/>
            <c:showCatName val="1"/>
            <c:separator>
</c:separator>
            <c:showLeaderLines val="1"/>
          </c:dLbls>
          <c:cat>
            <c:strRef>
              <c:f>'countries-2016'!$A$6:$A$15</c:f>
              <c:strCache>
                <c:ptCount val="10"/>
                <c:pt idx="0">
                  <c:v>აზერბაიჯანი</c:v>
                </c:pt>
                <c:pt idx="1">
                  <c:v>თურქეთი</c:v>
                </c:pt>
                <c:pt idx="2">
                  <c:v>გაერთიანებული სამეფო</c:v>
                </c:pt>
                <c:pt idx="3">
                  <c:v>ნიდერლანდები</c:v>
                </c:pt>
                <c:pt idx="4">
                  <c:v>ჩეხეთი</c:v>
                </c:pt>
                <c:pt idx="5">
                  <c:v>ლუქსემბურგი</c:v>
                </c:pt>
                <c:pt idx="6">
                  <c:v>პანამა</c:v>
                </c:pt>
                <c:pt idx="7">
                  <c:v>აშშ</c:v>
                </c:pt>
                <c:pt idx="8">
                  <c:v>კვიპროსი</c:v>
                </c:pt>
                <c:pt idx="9">
                  <c:v>დანარჩენი ქვეყნები</c:v>
                </c:pt>
              </c:strCache>
            </c:strRef>
          </c:cat>
          <c:val>
            <c:numRef>
              <c:f>'countries-2016'!$B$6:$B$15</c:f>
              <c:numCache>
                <c:formatCode>0</c:formatCode>
                <c:ptCount val="10"/>
                <c:pt idx="0">
                  <c:v>35.152144543060821</c:v>
                </c:pt>
                <c:pt idx="1">
                  <c:v>16.550451418356324</c:v>
                </c:pt>
                <c:pt idx="2">
                  <c:v>7.3408489856917134</c:v>
                </c:pt>
                <c:pt idx="3">
                  <c:v>5.7961080198053221</c:v>
                </c:pt>
                <c:pt idx="4">
                  <c:v>5.6579136396306664</c:v>
                </c:pt>
                <c:pt idx="5">
                  <c:v>4.776803329204057</c:v>
                </c:pt>
                <c:pt idx="6">
                  <c:v>4.7125715488427256</c:v>
                </c:pt>
                <c:pt idx="7">
                  <c:v>2.7360112891483275</c:v>
                </c:pt>
                <c:pt idx="8">
                  <c:v>2.3248994028133603</c:v>
                </c:pt>
                <c:pt idx="9">
                  <c:v>14.952247823447081</c:v>
                </c:pt>
              </c:numCache>
            </c:numRef>
          </c:val>
        </c:ser>
        <c:dLbls>
          <c:showCatName val="1"/>
          <c:showPercent val="1"/>
        </c:dLbls>
        <c:firstSliceAng val="0"/>
      </c:pieChart>
    </c:plotArea>
    <c:plotVisOnly val="1"/>
    <c:dispBlanksAs val="zero"/>
  </c:chart>
  <c:spPr>
    <a:ln>
      <a:noFill/>
    </a:ln>
  </c:spPr>
  <c:txPr>
    <a:bodyPr/>
    <a:lstStyle/>
    <a:p>
      <a:pPr>
        <a:defRPr>
          <a:latin typeface="Sylfae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cdr:x>
      <cdr:y>1</cdr:y>
    </cdr:from>
    <cdr:to>
      <cdr:x>0.36159</cdr:x>
      <cdr:y>1</cdr:y>
    </cdr:to>
    <cdr:sp macro="" textlink="">
      <cdr:nvSpPr>
        <cdr:cNvPr id="2" name="TextBox 1"/>
        <cdr:cNvSpPr txBox="1"/>
      </cdr:nvSpPr>
      <cdr:spPr>
        <a:xfrm xmlns:a="http://schemas.openxmlformats.org/drawingml/2006/main" flipV="1">
          <a:off x="0" y="3400424"/>
          <a:ext cx="1970051" cy="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0.49459</cdr:x>
      <cdr:y>0.49658</cdr:y>
    </cdr:from>
    <cdr:to>
      <cdr:x>0.50836</cdr:x>
      <cdr:y>0.566</cdr:y>
    </cdr:to>
    <cdr:sp macro="" textlink="">
      <cdr:nvSpPr>
        <cdr:cNvPr id="11265" name="Text Box 1"/>
        <cdr:cNvSpPr txBox="1">
          <a:spLocks xmlns:a="http://schemas.openxmlformats.org/drawingml/2006/main" noChangeArrowheads="1"/>
        </cdr:cNvSpPr>
      </cdr:nvSpPr>
      <cdr:spPr bwMode="auto">
        <a:xfrm xmlns:a="http://schemas.openxmlformats.org/drawingml/2006/main">
          <a:off x="2905128" y="1837738"/>
          <a:ext cx="80810" cy="258113"/>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1">
            <a:defRPr sz="1000"/>
          </a:pPr>
          <a:r>
            <a:rPr lang="ru-RU" sz="1000" b="0" i="0" strike="noStrike">
              <a:solidFill>
                <a:srgbClr val="000000"/>
              </a:solidFill>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A2DD-1711-4F16-9FB2-039AB374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29</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IManjgaladze</dc:creator>
  <cp:keywords/>
  <dc:description/>
  <cp:lastModifiedBy>mariam kavelashvili</cp:lastModifiedBy>
  <cp:revision>119</cp:revision>
  <cp:lastPrinted>2017-04-27T06:42:00Z</cp:lastPrinted>
  <dcterms:created xsi:type="dcterms:W3CDTF">2015-04-01T13:57:00Z</dcterms:created>
  <dcterms:modified xsi:type="dcterms:W3CDTF">2017-04-27T06:43:00Z</dcterms:modified>
</cp:coreProperties>
</file>