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6D" w:rsidRDefault="00427A39">
      <w:pPr>
        <w:rPr>
          <w:noProof/>
        </w:rPr>
      </w:pPr>
      <w:r>
        <w:rPr>
          <w:noProof/>
        </w:rPr>
        <w:drawing>
          <wp:anchor distT="0" distB="0" distL="114300" distR="114300" simplePos="0" relativeHeight="251659264" behindDoc="0" locked="0" layoutInCell="1" allowOverlap="1">
            <wp:simplePos x="0" y="0"/>
            <wp:positionH relativeFrom="column">
              <wp:posOffset>7045645</wp:posOffset>
            </wp:positionH>
            <wp:positionV relativeFrom="paragraph">
              <wp:posOffset>-450376</wp:posOffset>
            </wp:positionV>
            <wp:extent cx="1482204" cy="504967"/>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482204" cy="504967"/>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93862</wp:posOffset>
            </wp:positionH>
            <wp:positionV relativeFrom="paragraph">
              <wp:posOffset>-552893</wp:posOffset>
            </wp:positionV>
            <wp:extent cx="937880" cy="595424"/>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0"/>
                    </a:blip>
                    <a:srcRect/>
                    <a:stretch>
                      <a:fillRect/>
                    </a:stretch>
                  </pic:blipFill>
                  <pic:spPr bwMode="auto">
                    <a:xfrm>
                      <a:off x="0" y="0"/>
                      <a:ext cx="937880" cy="595424"/>
                    </a:xfrm>
                    <a:prstGeom prst="rect">
                      <a:avLst/>
                    </a:prstGeom>
                    <a:noFill/>
                    <a:ln w="9525">
                      <a:noFill/>
                      <a:miter lim="800000"/>
                      <a:headEnd/>
                      <a:tailEnd/>
                    </a:ln>
                  </pic:spPr>
                </pic:pic>
              </a:graphicData>
            </a:graphic>
          </wp:anchor>
        </w:drawing>
      </w:r>
    </w:p>
    <w:p w:rsidR="00325C98" w:rsidRPr="00522B25" w:rsidRDefault="00EE46AD" w:rsidP="00522B25">
      <w:pPr>
        <w:jc w:val="center"/>
        <w:rPr>
          <w:rFonts w:ascii="Sylfaen" w:hAnsi="Sylfaen"/>
          <w:b/>
          <w:noProof/>
          <w:sz w:val="36"/>
          <w:szCs w:val="36"/>
        </w:rPr>
      </w:pPr>
      <w:r w:rsidRPr="00EE46AD">
        <w:rPr>
          <w:rFonts w:ascii="Sylfaen" w:hAnsi="Sylfaen"/>
          <w:b/>
          <w:noProof/>
          <w:sz w:val="36"/>
          <w:szCs w:val="36"/>
          <w:lang w:val="ka-GE"/>
        </w:rPr>
        <w:t xml:space="preserve">ბიზნეს </w:t>
      </w:r>
      <w:r w:rsidR="00427A39">
        <w:rPr>
          <w:rFonts w:ascii="Sylfaen" w:hAnsi="Sylfaen"/>
          <w:b/>
          <w:noProof/>
          <w:sz w:val="36"/>
          <w:szCs w:val="36"/>
          <w:lang w:val="ka-GE"/>
        </w:rPr>
        <w:t>სექტორი</w:t>
      </w:r>
    </w:p>
    <w:p w:rsidR="00325C98" w:rsidRDefault="00522B25">
      <w:pPr>
        <w:rPr>
          <w:rFonts w:ascii="Sylfaen" w:hAnsi="Sylfaen"/>
        </w:rPr>
      </w:pPr>
      <w:r w:rsidRPr="00522B25">
        <w:rPr>
          <w:rFonts w:ascii="Sylfaen" w:hAnsi="Sylfaen"/>
          <w:noProof/>
        </w:rPr>
        <w:drawing>
          <wp:inline distT="0" distB="0" distL="0" distR="0">
            <wp:extent cx="8811052" cy="4995081"/>
            <wp:effectExtent l="19050" t="0" r="28148"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2B25" w:rsidRDefault="00522B25">
      <w:pPr>
        <w:rPr>
          <w:rFonts w:ascii="Sylfaen" w:hAnsi="Sylfaen"/>
        </w:rPr>
      </w:pPr>
    </w:p>
    <w:p w:rsidR="00522B25" w:rsidRDefault="00BC0158">
      <w:pPr>
        <w:rPr>
          <w:rFonts w:ascii="Sylfaen" w:hAnsi="Sylfaen"/>
        </w:rPr>
      </w:pPr>
      <w:r w:rsidRPr="00BC0158">
        <w:rPr>
          <w:rFonts w:ascii="Sylfaen" w:hAnsi="Sylfaen"/>
          <w:noProof/>
        </w:rPr>
        <w:lastRenderedPageBreak/>
        <w:drawing>
          <wp:inline distT="0" distB="0" distL="0" distR="0">
            <wp:extent cx="8525860" cy="5770179"/>
            <wp:effectExtent l="19050" t="0" r="27590" b="1971"/>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0158" w:rsidRDefault="00BC0158">
      <w:pPr>
        <w:rPr>
          <w:rFonts w:ascii="Sylfaen" w:hAnsi="Sylfaen"/>
        </w:rPr>
      </w:pPr>
    </w:p>
    <w:p w:rsidR="002832A2" w:rsidRDefault="002832A2" w:rsidP="002832A2">
      <w:pPr>
        <w:spacing w:after="120"/>
        <w:ind w:firstLine="720"/>
        <w:jc w:val="both"/>
        <w:rPr>
          <w:rFonts w:ascii="Sylfaen" w:hAnsi="Sylfaen"/>
          <w:lang w:val="ka-GE"/>
        </w:rPr>
      </w:pPr>
      <w:r>
        <w:rPr>
          <w:rFonts w:ascii="Sylfaen" w:hAnsi="Sylfaen"/>
          <w:lang w:val="ka-GE"/>
        </w:rPr>
        <w:lastRenderedPageBreak/>
        <w:t>ბიზნეს სექტორში დასაქმებულთა რაოდენობის შემცირება, 2011 წლის მე–2 კვარტალში, გასული წლის შესაბამის პერიოდთან შედარებით, ძირითადად შემდეგ სექტორებზე მოდის: ჯანმრთელობის დაცვა და სოციალური დახმარება; მშენებლობა; ტრანსპორტი; კომუნალური, სოციალური და პერსონალური მომსახურების გაწევა.</w:t>
      </w:r>
    </w:p>
    <w:p w:rsidR="002832A2" w:rsidRDefault="002832A2" w:rsidP="002832A2">
      <w:pPr>
        <w:spacing w:after="120"/>
        <w:ind w:firstLine="720"/>
        <w:jc w:val="both"/>
        <w:rPr>
          <w:rFonts w:ascii="Sylfaen" w:hAnsi="Sylfaen"/>
          <w:lang w:val="ka-GE"/>
        </w:rPr>
      </w:pPr>
      <w:r w:rsidRPr="00AB425E">
        <w:rPr>
          <w:rFonts w:ascii="Sylfaen" w:hAnsi="Sylfaen"/>
          <w:b/>
          <w:lang w:val="ka-GE"/>
        </w:rPr>
        <w:t>ჯანმრთელობის დაცვისა და სოციალური დახმარების დარგში</w:t>
      </w:r>
      <w:r>
        <w:rPr>
          <w:rFonts w:ascii="Sylfaen" w:hAnsi="Sylfaen"/>
          <w:lang w:val="ka-GE"/>
        </w:rPr>
        <w:t xml:space="preserve"> დასაქმებულთა რაოდენობის შემცირება ძირითადად უკავშირდება ამ სფეროში განხორციელებულ ცვლილებებს</w:t>
      </w:r>
      <w:r>
        <w:rPr>
          <w:rFonts w:ascii="Sylfaen" w:hAnsi="Sylfaen"/>
        </w:rPr>
        <w:t>:</w:t>
      </w:r>
      <w:r>
        <w:rPr>
          <w:rFonts w:ascii="Sylfaen" w:hAnsi="Sylfaen"/>
          <w:lang w:val="ka-GE"/>
        </w:rPr>
        <w:t xml:space="preserve"> კერძოდ, რამოდენიმე მსხვილმა დაწესებულებამ (რომელიც 2010  წლის მე–2 კვარტალში ბიზნეს სტატისტიკის შესწავლის ობიექტს წარმოადგენდა), შეიცვალა ორგანიზაციულ–სამართლებრივი ფორმა და  შეერწყა ისეთი სამართლებრივი ფორმის დაწესებულებას, რომელიც ბიზნეს სექტორის კვარტალური გამოკვლევის ობიექტს აღარ წარმოადგენს</w:t>
      </w:r>
      <w:r>
        <w:rPr>
          <w:rStyle w:val="ab"/>
          <w:rFonts w:ascii="Sylfaen" w:hAnsi="Sylfaen"/>
          <w:lang w:val="ka-GE"/>
        </w:rPr>
        <w:footnoteReference w:id="2"/>
      </w:r>
      <w:r>
        <w:rPr>
          <w:rFonts w:ascii="Sylfaen" w:hAnsi="Sylfaen"/>
          <w:lang w:val="ka-GE"/>
        </w:rPr>
        <w:t>.  აღნიშნული ფაქტის შედეგად განხორციელდა დასაქმებულთა გარკვეული ნაწილის გადაყვანა სხვა ორგანიზაციულ–სამართლებრივ ფორმაში.</w:t>
      </w:r>
    </w:p>
    <w:p w:rsidR="002832A2" w:rsidRDefault="002832A2" w:rsidP="002832A2">
      <w:pPr>
        <w:spacing w:after="120"/>
        <w:ind w:firstLine="720"/>
        <w:jc w:val="both"/>
        <w:rPr>
          <w:rFonts w:ascii="Sylfaen" w:hAnsi="Sylfaen"/>
          <w:lang w:val="ka-GE"/>
        </w:rPr>
      </w:pPr>
      <w:r>
        <w:rPr>
          <w:rFonts w:ascii="Sylfaen" w:hAnsi="Sylfaen"/>
          <w:lang w:val="ka-GE"/>
        </w:rPr>
        <w:t>საწარმოთა დეკლარირებული მონაცემებისა და მათგან წარმოდგენილი ინფორმაციის საფუძველზე, ჯანმრთელობის დაცვისა და სოციალური დახმარების დარგში დასაქმებულთა რაოდენობის შემცირების ერთ–ერთ მნიშვნელოვან მიზეზად გვევლინება რამოდენიმე მსხვილ დაწესებულებაში განხორციელებული რეორგანიზაცია. გარდა ამისა გასათ</w:t>
      </w:r>
      <w:r>
        <w:rPr>
          <w:rFonts w:ascii="Sylfaen" w:hAnsi="Sylfaen"/>
          <w:lang w:val="ka-GE"/>
        </w:rPr>
        <w:softHyphen/>
        <w:t>ვალისწინებელია ის ფაქტიც, რომ საწარმოთა გარკვეულმა ნაწილმა დროებით შეაჩერა ფუნქციონირება სხვადასხვა მიზეზების გამო.</w:t>
      </w:r>
    </w:p>
    <w:p w:rsidR="002832A2" w:rsidRDefault="002832A2" w:rsidP="002832A2">
      <w:pPr>
        <w:spacing w:after="120"/>
        <w:ind w:firstLine="720"/>
        <w:jc w:val="both"/>
        <w:rPr>
          <w:rFonts w:ascii="Sylfaen" w:hAnsi="Sylfaen"/>
          <w:lang w:val="ka-GE"/>
        </w:rPr>
      </w:pPr>
      <w:r w:rsidRPr="00AB425E">
        <w:rPr>
          <w:rFonts w:ascii="Sylfaen" w:hAnsi="Sylfaen"/>
          <w:b/>
          <w:lang w:val="ka-GE"/>
        </w:rPr>
        <w:t>მშენებლობის დარგის</w:t>
      </w:r>
      <w:r>
        <w:rPr>
          <w:rFonts w:ascii="Sylfaen" w:hAnsi="Sylfaen"/>
          <w:lang w:val="ka-GE"/>
        </w:rPr>
        <w:t xml:space="preserve"> ძირითადი მაჩვენებლების შემცირება გასული წლის მე–2 კვარტალთან შედარებით აიხსნება შემდეგი ძირითადი მიზეზებით: საწარმოთა გარკვეულმა ნაწილმა 2011 წლის მე–2 კვარტალში დროებით შეაჩერა ფუნქციონირება სხვადასხვა მიზეზების გამო (ფინანსური პრობლემები, შეკვეთების არქონა), საწარმოთა გარკვეულმა ნაწილმა 2010 წლის მე–2 კვარტალში გაცილებით დიდი მოცულობის სამშენებლო სამუშაოები შეასრულა, ვიდრე 2011 წლის მე–2 კვარტალში, რამაც გამოიწვია მათი შემოსავლების და აქედან გამომდინარე – დასაქმებულთა რაოდენობის შემცირება.</w:t>
      </w:r>
    </w:p>
    <w:p w:rsidR="002832A2" w:rsidRDefault="002832A2" w:rsidP="002832A2">
      <w:pPr>
        <w:spacing w:after="0"/>
        <w:ind w:firstLine="720"/>
        <w:jc w:val="both"/>
        <w:rPr>
          <w:rFonts w:ascii="Sylfaen" w:hAnsi="Sylfaen"/>
          <w:lang w:val="ka-GE"/>
        </w:rPr>
      </w:pPr>
      <w:r w:rsidRPr="00AB425E">
        <w:rPr>
          <w:rFonts w:ascii="Sylfaen" w:hAnsi="Sylfaen"/>
          <w:b/>
          <w:lang w:val="ka-GE"/>
        </w:rPr>
        <w:t>ტრანსპორტის დარგის</w:t>
      </w:r>
      <w:r>
        <w:rPr>
          <w:rFonts w:ascii="Sylfaen" w:hAnsi="Sylfaen"/>
          <w:lang w:val="ka-GE"/>
        </w:rPr>
        <w:t xml:space="preserve"> საწარმოთაგან მოპოვებული ინფორმაციის საფუძველზე, ტრანსპორტის დარგში დასაქმებულთა რაოდენობის შემცირება უკავშირდება რამოდენიმე მსხვილ საწარმოში განხორციელებულ რეორგანიზაციასა და სტრუქტურულ ცვლილებებს. გარდა ამისა, აღნიშნულ დარგში დასაქმებულთა რაოდენობის შემცირების ერთ–ერთ მიზეზად, ზოგიერთ მსხვილ საწარმოში შემოსავლების შემცირება სახელდება. </w:t>
      </w:r>
    </w:p>
    <w:p w:rsidR="002832A2" w:rsidRPr="00AB425E" w:rsidRDefault="002832A2" w:rsidP="002832A2">
      <w:pPr>
        <w:spacing w:after="0"/>
        <w:ind w:firstLine="720"/>
        <w:jc w:val="both"/>
        <w:rPr>
          <w:rFonts w:ascii="Sylfaen" w:hAnsi="Sylfaen"/>
          <w:lang w:val="ka-GE"/>
        </w:rPr>
      </w:pPr>
      <w:r w:rsidRPr="00AB425E">
        <w:rPr>
          <w:rFonts w:ascii="Sylfaen" w:hAnsi="Sylfaen"/>
          <w:b/>
          <w:lang w:val="ka-GE"/>
        </w:rPr>
        <w:t>კომუნალური, სოციალური და პერსონალური მომსახურების გაწევის დარგში</w:t>
      </w:r>
      <w:r>
        <w:rPr>
          <w:rFonts w:ascii="Sylfaen" w:hAnsi="Sylfaen"/>
          <w:lang w:val="ka-GE"/>
        </w:rPr>
        <w:t xml:space="preserve"> დასაქმებულთა რაოდენობის შემცირების ძირითად მიზეზად, ცალკეული მსხვილი საწარმოს პროდუქციაზე მოთხოვნისა და მათი შემოსავლების შემცირება გვევლინება.</w:t>
      </w:r>
    </w:p>
    <w:p w:rsidR="002832A2" w:rsidRDefault="002832A2">
      <w:pPr>
        <w:rPr>
          <w:rFonts w:ascii="Sylfaen" w:hAnsi="Sylfaen"/>
        </w:rPr>
      </w:pPr>
    </w:p>
    <w:p w:rsidR="00BC0158" w:rsidRPr="00522B25" w:rsidRDefault="00BC0158">
      <w:pPr>
        <w:rPr>
          <w:rFonts w:ascii="Sylfaen" w:hAnsi="Sylfaen"/>
        </w:rPr>
      </w:pPr>
      <w:r w:rsidRPr="00BC0158">
        <w:rPr>
          <w:rFonts w:ascii="Sylfaen" w:hAnsi="Sylfaen"/>
          <w:noProof/>
        </w:rPr>
        <w:lastRenderedPageBreak/>
        <w:drawing>
          <wp:inline distT="0" distB="0" distL="0" distR="0">
            <wp:extent cx="8306085" cy="6025960"/>
            <wp:effectExtent l="19050" t="0" r="18765"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7275" w:rsidRPr="00A00BE4" w:rsidRDefault="00A00BE4">
      <w:pPr>
        <w:rPr>
          <w:rFonts w:ascii="Sylfaen" w:hAnsi="Sylfaen"/>
        </w:rPr>
      </w:pPr>
      <w:r w:rsidRPr="00A00BE4">
        <w:rPr>
          <w:rFonts w:ascii="Sylfaen" w:hAnsi="Sylfaen"/>
          <w:noProof/>
        </w:rPr>
        <w:lastRenderedPageBreak/>
        <w:drawing>
          <wp:inline distT="0" distB="0" distL="0" distR="0">
            <wp:extent cx="8183255" cy="5527343"/>
            <wp:effectExtent l="19050" t="0" r="27295"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7275" w:rsidRDefault="00127275" w:rsidP="00127275">
      <w:pPr>
        <w:rPr>
          <w:rFonts w:ascii="Sylfaen" w:hAnsi="Sylfaen"/>
          <w:lang w:val="ka-GE"/>
        </w:rPr>
      </w:pPr>
    </w:p>
    <w:p w:rsidR="00127275" w:rsidRPr="00127275" w:rsidRDefault="00127275" w:rsidP="00127275">
      <w:pPr>
        <w:tabs>
          <w:tab w:val="left" w:pos="6232"/>
        </w:tabs>
        <w:rPr>
          <w:rFonts w:ascii="Sylfaen" w:hAnsi="Sylfaen"/>
          <w:lang w:val="ka-GE"/>
        </w:rPr>
      </w:pPr>
      <w:r>
        <w:rPr>
          <w:rFonts w:ascii="Sylfaen" w:hAnsi="Sylfaen"/>
          <w:lang w:val="ka-GE"/>
        </w:rPr>
        <w:tab/>
      </w:r>
    </w:p>
    <w:sectPr w:rsidR="00127275" w:rsidRPr="00127275" w:rsidSect="00EE46AD">
      <w:pgSz w:w="15840" w:h="12240" w:orient="landscape"/>
      <w:pgMar w:top="1440" w:right="1138" w:bottom="850" w:left="113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90F" w:rsidRDefault="003D590F" w:rsidP="00325C98">
      <w:pPr>
        <w:spacing w:after="0" w:line="240" w:lineRule="auto"/>
      </w:pPr>
      <w:r>
        <w:separator/>
      </w:r>
    </w:p>
  </w:endnote>
  <w:endnote w:type="continuationSeparator" w:id="1">
    <w:p w:rsidR="003D590F" w:rsidRDefault="003D590F" w:rsidP="00325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90F" w:rsidRDefault="003D590F" w:rsidP="00325C98">
      <w:pPr>
        <w:spacing w:after="0" w:line="240" w:lineRule="auto"/>
      </w:pPr>
      <w:r>
        <w:separator/>
      </w:r>
    </w:p>
  </w:footnote>
  <w:footnote w:type="continuationSeparator" w:id="1">
    <w:p w:rsidR="003D590F" w:rsidRDefault="003D590F" w:rsidP="00325C98">
      <w:pPr>
        <w:spacing w:after="0" w:line="240" w:lineRule="auto"/>
      </w:pPr>
      <w:r>
        <w:continuationSeparator/>
      </w:r>
    </w:p>
  </w:footnote>
  <w:footnote w:id="2">
    <w:p w:rsidR="002832A2" w:rsidRPr="00FD7E91" w:rsidRDefault="002832A2" w:rsidP="002832A2">
      <w:pPr>
        <w:pStyle w:val="a9"/>
        <w:rPr>
          <w:rFonts w:ascii="Sylfaen" w:hAnsi="Sylfaen"/>
          <w:lang w:val="ka-GE"/>
        </w:rPr>
      </w:pPr>
      <w:r>
        <w:rPr>
          <w:rStyle w:val="ab"/>
        </w:rPr>
        <w:footnoteRef/>
      </w:r>
      <w:r>
        <w:t xml:space="preserve"> </w:t>
      </w:r>
      <w:r>
        <w:rPr>
          <w:rFonts w:ascii="Sylfaen" w:hAnsi="Sylfaen"/>
          <w:lang w:val="ka-GE"/>
        </w:rPr>
        <w:t>ბიზნეს სექტორის კვარტალური გამოკვლევის ობიექტებს წარმოადგენენ შემდეგი ორგანიზაციულ–სამართლებრივი ფორმის დაწესებულებები: შეზღუდული პასუხისმგებლობის საზოგადოება, სოლიდარული პასუხისმგებლობის საზოგადოება, სააქციო საზოგადოება, კომანდიტური საზოგადოება, კოოპირატივი, ინდ. მეწარმე.</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25C98"/>
    <w:rsid w:val="00127275"/>
    <w:rsid w:val="00147039"/>
    <w:rsid w:val="00194156"/>
    <w:rsid w:val="002571F4"/>
    <w:rsid w:val="002832A2"/>
    <w:rsid w:val="002F226D"/>
    <w:rsid w:val="00325C98"/>
    <w:rsid w:val="003D590F"/>
    <w:rsid w:val="00427A39"/>
    <w:rsid w:val="004C1AB0"/>
    <w:rsid w:val="00522B25"/>
    <w:rsid w:val="00577FCD"/>
    <w:rsid w:val="006E58A5"/>
    <w:rsid w:val="00722203"/>
    <w:rsid w:val="00726D4F"/>
    <w:rsid w:val="008B08F5"/>
    <w:rsid w:val="0093309E"/>
    <w:rsid w:val="00A00BE4"/>
    <w:rsid w:val="00AA2198"/>
    <w:rsid w:val="00AF3345"/>
    <w:rsid w:val="00B330F1"/>
    <w:rsid w:val="00BC0158"/>
    <w:rsid w:val="00C91930"/>
    <w:rsid w:val="00DB357D"/>
    <w:rsid w:val="00EE46AD"/>
    <w:rsid w:val="00F154A8"/>
    <w:rsid w:val="00F25142"/>
    <w:rsid w:val="00F40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2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5C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5C98"/>
    <w:rPr>
      <w:rFonts w:ascii="Tahoma" w:hAnsi="Tahoma" w:cs="Tahoma"/>
      <w:sz w:val="16"/>
      <w:szCs w:val="16"/>
    </w:rPr>
  </w:style>
  <w:style w:type="paragraph" w:styleId="a5">
    <w:name w:val="header"/>
    <w:basedOn w:val="a"/>
    <w:link w:val="a6"/>
    <w:uiPriority w:val="99"/>
    <w:semiHidden/>
    <w:unhideWhenUsed/>
    <w:rsid w:val="00325C98"/>
    <w:pPr>
      <w:tabs>
        <w:tab w:val="center" w:pos="4844"/>
        <w:tab w:val="right" w:pos="9689"/>
      </w:tabs>
      <w:spacing w:after="0" w:line="240" w:lineRule="auto"/>
    </w:pPr>
  </w:style>
  <w:style w:type="character" w:customStyle="1" w:styleId="a6">
    <w:name w:val="Верхний колонтитул Знак"/>
    <w:basedOn w:val="a0"/>
    <w:link w:val="a5"/>
    <w:uiPriority w:val="99"/>
    <w:semiHidden/>
    <w:rsid w:val="00325C98"/>
  </w:style>
  <w:style w:type="paragraph" w:styleId="a7">
    <w:name w:val="footer"/>
    <w:basedOn w:val="a"/>
    <w:link w:val="a8"/>
    <w:uiPriority w:val="99"/>
    <w:semiHidden/>
    <w:unhideWhenUsed/>
    <w:rsid w:val="00325C98"/>
    <w:pPr>
      <w:tabs>
        <w:tab w:val="center" w:pos="4844"/>
        <w:tab w:val="right" w:pos="9689"/>
      </w:tabs>
      <w:spacing w:after="0" w:line="240" w:lineRule="auto"/>
    </w:pPr>
  </w:style>
  <w:style w:type="character" w:customStyle="1" w:styleId="a8">
    <w:name w:val="Нижний колонтитул Знак"/>
    <w:basedOn w:val="a0"/>
    <w:link w:val="a7"/>
    <w:uiPriority w:val="99"/>
    <w:semiHidden/>
    <w:rsid w:val="00325C98"/>
  </w:style>
  <w:style w:type="paragraph" w:styleId="a9">
    <w:name w:val="footnote text"/>
    <w:basedOn w:val="a"/>
    <w:link w:val="aa"/>
    <w:uiPriority w:val="99"/>
    <w:semiHidden/>
    <w:unhideWhenUsed/>
    <w:rsid w:val="002832A2"/>
    <w:pPr>
      <w:spacing w:after="0" w:line="240" w:lineRule="auto"/>
    </w:pPr>
    <w:rPr>
      <w:sz w:val="20"/>
      <w:szCs w:val="20"/>
    </w:rPr>
  </w:style>
  <w:style w:type="character" w:customStyle="1" w:styleId="aa">
    <w:name w:val="Текст сноски Знак"/>
    <w:basedOn w:val="a0"/>
    <w:link w:val="a9"/>
    <w:uiPriority w:val="99"/>
    <w:semiHidden/>
    <w:rsid w:val="002832A2"/>
    <w:rPr>
      <w:sz w:val="20"/>
      <w:szCs w:val="20"/>
    </w:rPr>
  </w:style>
  <w:style w:type="character" w:styleId="ab">
    <w:name w:val="footnote reference"/>
    <w:basedOn w:val="a0"/>
    <w:uiPriority w:val="99"/>
    <w:semiHidden/>
    <w:unhideWhenUsed/>
    <w:rsid w:val="002832A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gamokvlevis%20Shedegebi\kvartaluri\2011_II\charts\charts_Turnover,%20Production%20value_BILLION.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gamokvlevis%20Shedegebi\kvartaluri\2011_II\charts\charts_Employment.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gamokvlevis%20Shedegebi\kvartaluri\2011_II\charts\Quarterly%20charts%20GEO.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gamokvlevis%20Shedegebi\kvartaluri\2011_II\charts\Quarterly%20charts%20GEO.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500"/>
            </a:pPr>
            <a:r>
              <a:rPr lang="ka-GE" sz="1500" b="1" i="0" baseline="0"/>
              <a:t>ბიზნეს სექტორის ბრუნვისა და პროდუქციის გამოშვების მოცულობის ცვლილება კვარტლების მიხედვით</a:t>
            </a:r>
            <a:endParaRPr lang="en-US" sz="1500" b="1" i="0" baseline="0"/>
          </a:p>
        </c:rich>
      </c:tx>
      <c:overlay val="1"/>
    </c:title>
    <c:plotArea>
      <c:layout>
        <c:manualLayout>
          <c:layoutTarget val="inner"/>
          <c:xMode val="edge"/>
          <c:yMode val="edge"/>
          <c:x val="8.4103910088162065E-2"/>
          <c:y val="0.15226528941946851"/>
          <c:w val="0.89709267110841995"/>
          <c:h val="0.68554466175599049"/>
        </c:manualLayout>
      </c:layout>
      <c:lineChart>
        <c:grouping val="standard"/>
        <c:ser>
          <c:idx val="0"/>
          <c:order val="0"/>
          <c:tx>
            <c:strRef>
              <c:f>Sheet1!$B$3</c:f>
              <c:strCache>
                <c:ptCount val="1"/>
                <c:pt idx="0">
                  <c:v>ბრუნვა</c:v>
                </c:pt>
              </c:strCache>
            </c:strRef>
          </c:tx>
          <c:dLbls>
            <c:dLbl>
              <c:idx val="11"/>
              <c:layout>
                <c:manualLayout>
                  <c:x val="-1.7094017094017127E-2"/>
                  <c:y val="-1.7204301075268845E-2"/>
                </c:manualLayout>
              </c:layout>
              <c:dLblPos val="r"/>
              <c:showVal val="1"/>
            </c:dLbl>
            <c:dLbl>
              <c:idx val="12"/>
              <c:layout>
                <c:manualLayout>
                  <c:x val="-2.3931623931623982E-2"/>
                  <c:y val="-3.154121863799289E-2"/>
                </c:manualLayout>
              </c:layout>
              <c:dLblPos val="r"/>
              <c:showVal val="1"/>
            </c:dLbl>
            <c:txPr>
              <a:bodyPr/>
              <a:lstStyle/>
              <a:p>
                <a:pPr>
                  <a:defRPr sz="1200"/>
                </a:pPr>
                <a:endParaRPr lang="en-US"/>
              </a:p>
            </c:txPr>
            <c:dLblPos val="t"/>
            <c:showVal val="1"/>
          </c:dLbls>
          <c:cat>
            <c:strRef>
              <c:f>Sheet1!$C$2:$P$2</c:f>
              <c:strCache>
                <c:ptCount val="14"/>
                <c:pt idx="0">
                  <c:v>2008 I</c:v>
                </c:pt>
                <c:pt idx="1">
                  <c:v>2008 II</c:v>
                </c:pt>
                <c:pt idx="2">
                  <c:v>2008 III</c:v>
                </c:pt>
                <c:pt idx="3">
                  <c:v>2008 IV</c:v>
                </c:pt>
                <c:pt idx="4">
                  <c:v>2009 I</c:v>
                </c:pt>
                <c:pt idx="5">
                  <c:v>2009 II</c:v>
                </c:pt>
                <c:pt idx="6">
                  <c:v>2009 III</c:v>
                </c:pt>
                <c:pt idx="7">
                  <c:v>2009 IV</c:v>
                </c:pt>
                <c:pt idx="8">
                  <c:v>2010 I</c:v>
                </c:pt>
                <c:pt idx="9">
                  <c:v>2010 II</c:v>
                </c:pt>
                <c:pt idx="10">
                  <c:v>2010 III</c:v>
                </c:pt>
                <c:pt idx="11">
                  <c:v>2010 IV</c:v>
                </c:pt>
                <c:pt idx="12">
                  <c:v>2011 I</c:v>
                </c:pt>
                <c:pt idx="13">
                  <c:v>2011 II</c:v>
                </c:pt>
              </c:strCache>
            </c:strRef>
          </c:cat>
          <c:val>
            <c:numRef>
              <c:f>Sheet1!$C$3:$P$3</c:f>
              <c:numCache>
                <c:formatCode>0.0_);\(0.0\)</c:formatCode>
                <c:ptCount val="14"/>
                <c:pt idx="0">
                  <c:v>4.4439260912947134</c:v>
                </c:pt>
                <c:pt idx="1">
                  <c:v>5.0147289828457975</c:v>
                </c:pt>
                <c:pt idx="2">
                  <c:v>4.87780045534371</c:v>
                </c:pt>
                <c:pt idx="3">
                  <c:v>4.9863201707651994</c:v>
                </c:pt>
                <c:pt idx="4">
                  <c:v>3.6482230507769269</c:v>
                </c:pt>
                <c:pt idx="5">
                  <c:v>3.8762226170613987</c:v>
                </c:pt>
                <c:pt idx="6">
                  <c:v>4.3180871858770029</c:v>
                </c:pt>
                <c:pt idx="7">
                  <c:v>4.6331537223481503</c:v>
                </c:pt>
                <c:pt idx="8">
                  <c:v>4.8361735594611224</c:v>
                </c:pt>
                <c:pt idx="9">
                  <c:v>5.7365087462972495</c:v>
                </c:pt>
                <c:pt idx="10">
                  <c:v>6.0410741021520398</c:v>
                </c:pt>
                <c:pt idx="11">
                  <c:v>6.5797143836012824</c:v>
                </c:pt>
                <c:pt idx="12">
                  <c:v>5.7184639820795322</c:v>
                </c:pt>
                <c:pt idx="13">
                  <c:v>6.1199999999999966</c:v>
                </c:pt>
              </c:numCache>
            </c:numRef>
          </c:val>
        </c:ser>
        <c:ser>
          <c:idx val="1"/>
          <c:order val="1"/>
          <c:tx>
            <c:strRef>
              <c:f>Sheet1!$B$4</c:f>
              <c:strCache>
                <c:ptCount val="1"/>
                <c:pt idx="0">
                  <c:v>პროდუქციის გამოშვება</c:v>
                </c:pt>
              </c:strCache>
            </c:strRef>
          </c:tx>
          <c:dLbls>
            <c:txPr>
              <a:bodyPr/>
              <a:lstStyle/>
              <a:p>
                <a:pPr>
                  <a:defRPr sz="1200"/>
                </a:pPr>
                <a:endParaRPr lang="en-US"/>
              </a:p>
            </c:txPr>
            <c:dLblPos val="t"/>
            <c:showVal val="1"/>
          </c:dLbls>
          <c:cat>
            <c:strRef>
              <c:f>Sheet1!$C$2:$P$2</c:f>
              <c:strCache>
                <c:ptCount val="14"/>
                <c:pt idx="0">
                  <c:v>2008 I</c:v>
                </c:pt>
                <c:pt idx="1">
                  <c:v>2008 II</c:v>
                </c:pt>
                <c:pt idx="2">
                  <c:v>2008 III</c:v>
                </c:pt>
                <c:pt idx="3">
                  <c:v>2008 IV</c:v>
                </c:pt>
                <c:pt idx="4">
                  <c:v>2009 I</c:v>
                </c:pt>
                <c:pt idx="5">
                  <c:v>2009 II</c:v>
                </c:pt>
                <c:pt idx="6">
                  <c:v>2009 III</c:v>
                </c:pt>
                <c:pt idx="7">
                  <c:v>2009 IV</c:v>
                </c:pt>
                <c:pt idx="8">
                  <c:v>2010 I</c:v>
                </c:pt>
                <c:pt idx="9">
                  <c:v>2010 II</c:v>
                </c:pt>
                <c:pt idx="10">
                  <c:v>2010 III</c:v>
                </c:pt>
                <c:pt idx="11">
                  <c:v>2010 IV</c:v>
                </c:pt>
                <c:pt idx="12">
                  <c:v>2011 I</c:v>
                </c:pt>
                <c:pt idx="13">
                  <c:v>2011 II</c:v>
                </c:pt>
              </c:strCache>
            </c:strRef>
          </c:cat>
          <c:val>
            <c:numRef>
              <c:f>Sheet1!$C$4:$P$4</c:f>
              <c:numCache>
                <c:formatCode>0.0_);\(0.0\)</c:formatCode>
                <c:ptCount val="14"/>
                <c:pt idx="0">
                  <c:v>2.1805227625950074</c:v>
                </c:pt>
                <c:pt idx="1">
                  <c:v>2.5948275347459999</c:v>
                </c:pt>
                <c:pt idx="2">
                  <c:v>2.4537242137060011</c:v>
                </c:pt>
                <c:pt idx="3">
                  <c:v>2.7204639553460002</c:v>
                </c:pt>
                <c:pt idx="4">
                  <c:v>1.9185998722139992</c:v>
                </c:pt>
                <c:pt idx="5">
                  <c:v>2.0761528101089977</c:v>
                </c:pt>
                <c:pt idx="6">
                  <c:v>2.3922383083369998</c:v>
                </c:pt>
                <c:pt idx="7">
                  <c:v>2.5731142006600045</c:v>
                </c:pt>
                <c:pt idx="8">
                  <c:v>2.5549350247099998</c:v>
                </c:pt>
                <c:pt idx="9">
                  <c:v>2.9805235780200063</c:v>
                </c:pt>
                <c:pt idx="10">
                  <c:v>3.2134781989419996</c:v>
                </c:pt>
                <c:pt idx="11">
                  <c:v>3.4540982794910007</c:v>
                </c:pt>
                <c:pt idx="12">
                  <c:v>2.96</c:v>
                </c:pt>
                <c:pt idx="13">
                  <c:v>3.34</c:v>
                </c:pt>
              </c:numCache>
            </c:numRef>
          </c:val>
        </c:ser>
        <c:dLbls>
          <c:showVal val="1"/>
        </c:dLbls>
        <c:marker val="1"/>
        <c:axId val="71954432"/>
        <c:axId val="71955968"/>
      </c:lineChart>
      <c:catAx>
        <c:axId val="71954432"/>
        <c:scaling>
          <c:orientation val="minMax"/>
        </c:scaling>
        <c:axPos val="b"/>
        <c:numFmt formatCode="General" sourceLinked="1"/>
        <c:tickLblPos val="nextTo"/>
        <c:txPr>
          <a:bodyPr/>
          <a:lstStyle/>
          <a:p>
            <a:pPr>
              <a:defRPr sz="1200"/>
            </a:pPr>
            <a:endParaRPr lang="en-US"/>
          </a:p>
        </c:txPr>
        <c:crossAx val="71955968"/>
        <c:crosses val="autoZero"/>
        <c:auto val="1"/>
        <c:lblAlgn val="ctr"/>
        <c:lblOffset val="100"/>
      </c:catAx>
      <c:valAx>
        <c:axId val="71955968"/>
        <c:scaling>
          <c:orientation val="minMax"/>
        </c:scaling>
        <c:axPos val="l"/>
        <c:majorGridlines/>
        <c:title>
          <c:tx>
            <c:rich>
              <a:bodyPr rot="-5400000" vert="horz"/>
              <a:lstStyle/>
              <a:p>
                <a:pPr>
                  <a:defRPr sz="1200"/>
                </a:pPr>
                <a:r>
                  <a:rPr lang="ka-GE" sz="1200"/>
                  <a:t>მილიარდი  ლარი</a:t>
                </a:r>
                <a:endParaRPr lang="en-US" sz="1200"/>
              </a:p>
            </c:rich>
          </c:tx>
        </c:title>
        <c:numFmt formatCode="0.0_);\(0.0\)" sourceLinked="1"/>
        <c:tickLblPos val="nextTo"/>
        <c:txPr>
          <a:bodyPr/>
          <a:lstStyle/>
          <a:p>
            <a:pPr>
              <a:defRPr sz="1200"/>
            </a:pPr>
            <a:endParaRPr lang="en-US"/>
          </a:p>
        </c:txPr>
        <c:crossAx val="71954432"/>
        <c:crosses val="autoZero"/>
        <c:crossBetween val="between"/>
      </c:valAx>
    </c:plotArea>
    <c:legend>
      <c:legendPos val="b"/>
      <c:txPr>
        <a:bodyPr/>
        <a:lstStyle/>
        <a:p>
          <a:pPr>
            <a:defRPr sz="1200"/>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8"/>
  <c:chart>
    <c:title>
      <c:tx>
        <c:rich>
          <a:bodyPr/>
          <a:lstStyle/>
          <a:p>
            <a:pPr>
              <a:defRPr sz="1500"/>
            </a:pPr>
            <a:r>
              <a:rPr lang="ka-GE" sz="1500"/>
              <a:t>ბიზნეს სექტორში დასაქმებულთა რაოდენობის ცვლილება კვარტლების მიხედვით</a:t>
            </a:r>
            <a:endParaRPr lang="en-US" sz="1500"/>
          </a:p>
        </c:rich>
      </c:tx>
      <c:layout>
        <c:manualLayout>
          <c:xMode val="edge"/>
          <c:yMode val="edge"/>
          <c:x val="0.14076398158074399"/>
          <c:y val="0"/>
        </c:manualLayout>
      </c:layout>
      <c:overlay val="1"/>
    </c:title>
    <c:plotArea>
      <c:layout>
        <c:manualLayout>
          <c:layoutTarget val="inner"/>
          <c:xMode val="edge"/>
          <c:yMode val="edge"/>
          <c:x val="7.9938313753061332E-2"/>
          <c:y val="9.6822186786321693E-2"/>
          <c:w val="0.90410222195862244"/>
          <c:h val="0.8077604894429995"/>
        </c:manualLayout>
      </c:layout>
      <c:lineChart>
        <c:grouping val="standard"/>
        <c:ser>
          <c:idx val="0"/>
          <c:order val="0"/>
          <c:dLbls>
            <c:dLbl>
              <c:idx val="4"/>
              <c:layout>
                <c:manualLayout>
                  <c:x val="-3.3506780611530937E-2"/>
                  <c:y val="2.1725238644998958E-2"/>
                </c:manualLayout>
              </c:layout>
              <c:dLblPos val="t"/>
              <c:showVal val="1"/>
            </c:dLbl>
            <c:dLbl>
              <c:idx val="7"/>
              <c:layout>
                <c:manualLayout>
                  <c:x val="-1.6083254693534863E-2"/>
                  <c:y val="-2.4139154049998787E-3"/>
                </c:manualLayout>
              </c:layout>
              <c:dLblPos val="t"/>
              <c:showVal val="1"/>
            </c:dLbl>
            <c:dLbl>
              <c:idx val="10"/>
              <c:layout>
                <c:manualLayout>
                  <c:x val="0"/>
                  <c:y val="1.1004857908220901E-2"/>
                </c:manualLayout>
              </c:layout>
              <c:dLblPos val="t"/>
              <c:showVal val="1"/>
            </c:dLbl>
            <c:dLbl>
              <c:idx val="12"/>
              <c:layout>
                <c:manualLayout>
                  <c:x val="7.4479290065752914E-3"/>
                  <c:y val="0"/>
                </c:manualLayout>
              </c:layout>
              <c:dLblPos val="t"/>
              <c:showVal val="1"/>
            </c:dLbl>
            <c:txPr>
              <a:bodyPr/>
              <a:lstStyle/>
              <a:p>
                <a:pPr>
                  <a:defRPr sz="1200"/>
                </a:pPr>
                <a:endParaRPr lang="en-US"/>
              </a:p>
            </c:txPr>
            <c:dLblPos val="t"/>
            <c:showVal val="1"/>
          </c:dLbls>
          <c:cat>
            <c:strRef>
              <c:f>MAIN!$C$2:$P$2</c:f>
              <c:strCache>
                <c:ptCount val="14"/>
                <c:pt idx="0">
                  <c:v>2008 I</c:v>
                </c:pt>
                <c:pt idx="1">
                  <c:v>2008 II</c:v>
                </c:pt>
                <c:pt idx="2">
                  <c:v>2008 III</c:v>
                </c:pt>
                <c:pt idx="3">
                  <c:v>2008 IV</c:v>
                </c:pt>
                <c:pt idx="4">
                  <c:v>2009 I</c:v>
                </c:pt>
                <c:pt idx="5">
                  <c:v>2009 II</c:v>
                </c:pt>
                <c:pt idx="6">
                  <c:v>2009 III</c:v>
                </c:pt>
                <c:pt idx="7">
                  <c:v>2009 IV</c:v>
                </c:pt>
                <c:pt idx="8">
                  <c:v>2010 I</c:v>
                </c:pt>
                <c:pt idx="9">
                  <c:v>2010 II</c:v>
                </c:pt>
                <c:pt idx="10">
                  <c:v>2010 III</c:v>
                </c:pt>
                <c:pt idx="11">
                  <c:v>2010 IV</c:v>
                </c:pt>
                <c:pt idx="12">
                  <c:v>2011 I</c:v>
                </c:pt>
                <c:pt idx="13">
                  <c:v>2011 II</c:v>
                </c:pt>
              </c:strCache>
            </c:strRef>
          </c:cat>
          <c:val>
            <c:numRef>
              <c:f>MAIN!$C$3:$P$3</c:f>
              <c:numCache>
                <c:formatCode>0.0_);\(0.0\)</c:formatCode>
                <c:ptCount val="14"/>
                <c:pt idx="0">
                  <c:v>322.57018331841101</c:v>
                </c:pt>
                <c:pt idx="1">
                  <c:v>331.3893960998505</c:v>
                </c:pt>
                <c:pt idx="2">
                  <c:v>329.711548133164</c:v>
                </c:pt>
                <c:pt idx="3">
                  <c:v>338.33425453501508</c:v>
                </c:pt>
                <c:pt idx="4">
                  <c:v>310.88162569219003</c:v>
                </c:pt>
                <c:pt idx="5">
                  <c:v>316.03561139037197</c:v>
                </c:pt>
                <c:pt idx="6">
                  <c:v>317.69520024444097</c:v>
                </c:pt>
                <c:pt idx="7">
                  <c:v>321.59894202579198</c:v>
                </c:pt>
                <c:pt idx="8">
                  <c:v>358.93413326501644</c:v>
                </c:pt>
                <c:pt idx="9">
                  <c:v>371.34085780539664</c:v>
                </c:pt>
                <c:pt idx="10">
                  <c:v>365.24902526788696</c:v>
                </c:pt>
                <c:pt idx="11">
                  <c:v>366.15111418080011</c:v>
                </c:pt>
                <c:pt idx="12">
                  <c:v>350.3</c:v>
                </c:pt>
                <c:pt idx="13">
                  <c:v>352.1</c:v>
                </c:pt>
              </c:numCache>
            </c:numRef>
          </c:val>
        </c:ser>
        <c:dLbls>
          <c:showVal val="1"/>
        </c:dLbls>
        <c:marker val="1"/>
        <c:axId val="71935872"/>
        <c:axId val="71937408"/>
      </c:lineChart>
      <c:catAx>
        <c:axId val="71935872"/>
        <c:scaling>
          <c:orientation val="minMax"/>
        </c:scaling>
        <c:axPos val="b"/>
        <c:numFmt formatCode="General" sourceLinked="1"/>
        <c:tickLblPos val="nextTo"/>
        <c:txPr>
          <a:bodyPr/>
          <a:lstStyle/>
          <a:p>
            <a:pPr>
              <a:defRPr sz="1200"/>
            </a:pPr>
            <a:endParaRPr lang="en-US"/>
          </a:p>
        </c:txPr>
        <c:crossAx val="71937408"/>
        <c:crosses val="autoZero"/>
        <c:auto val="1"/>
        <c:lblAlgn val="ctr"/>
        <c:lblOffset val="100"/>
      </c:catAx>
      <c:valAx>
        <c:axId val="71937408"/>
        <c:scaling>
          <c:orientation val="minMax"/>
        </c:scaling>
        <c:axPos val="l"/>
        <c:majorGridlines/>
        <c:title>
          <c:tx>
            <c:rich>
              <a:bodyPr rot="-5400000" vert="horz"/>
              <a:lstStyle/>
              <a:p>
                <a:pPr>
                  <a:defRPr sz="1200"/>
                </a:pPr>
                <a:r>
                  <a:rPr lang="ka-GE" sz="1200"/>
                  <a:t>ათასი კაცი</a:t>
                </a:r>
                <a:endParaRPr lang="en-US" sz="1200"/>
              </a:p>
            </c:rich>
          </c:tx>
          <c:layout>
            <c:manualLayout>
              <c:xMode val="edge"/>
              <c:yMode val="edge"/>
              <c:x val="0"/>
              <c:y val="0.42125446333342703"/>
            </c:manualLayout>
          </c:layout>
        </c:title>
        <c:numFmt formatCode="0_);\(0\)" sourceLinked="0"/>
        <c:tickLblPos val="nextTo"/>
        <c:txPr>
          <a:bodyPr/>
          <a:lstStyle/>
          <a:p>
            <a:pPr>
              <a:defRPr sz="1200"/>
            </a:pPr>
            <a:endParaRPr lang="en-US"/>
          </a:p>
        </c:txPr>
        <c:crossAx val="7193587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sz="1500"/>
            </a:pPr>
            <a:r>
              <a:rPr lang="ka-GE" sz="1500"/>
              <a:t>ბიზნეს სექტორის ბრუნვისა და პროდუქციის გამოშვების მოცულობის ცვლილება კვარტლების მიხედვით</a:t>
            </a:r>
            <a:endParaRPr lang="en-US" sz="1500"/>
          </a:p>
        </c:rich>
      </c:tx>
      <c:overlay val="1"/>
    </c:title>
    <c:plotArea>
      <c:layout>
        <c:manualLayout>
          <c:layoutTarget val="inner"/>
          <c:xMode val="edge"/>
          <c:yMode val="edge"/>
          <c:x val="0.11251862040438053"/>
          <c:y val="0.21353814227865581"/>
          <c:w val="0.85630539943498762"/>
          <c:h val="0.62980647927308453"/>
        </c:manualLayout>
      </c:layout>
      <c:barChart>
        <c:barDir val="col"/>
        <c:grouping val="clustered"/>
        <c:ser>
          <c:idx val="0"/>
          <c:order val="0"/>
          <c:tx>
            <c:strRef>
              <c:f>'MAIN Mln GEL'!$A$2</c:f>
              <c:strCache>
                <c:ptCount val="1"/>
                <c:pt idx="0">
                  <c:v>ბრუნვა</c:v>
                </c:pt>
              </c:strCache>
            </c:strRef>
          </c:tx>
          <c:dLbls>
            <c:dLbl>
              <c:idx val="3"/>
              <c:layout>
                <c:manualLayout>
                  <c:x val="3.3333328958880712E-3"/>
                  <c:y val="7.5268819328558438E-3"/>
                </c:manualLayout>
              </c:layout>
              <c:dLblPos val="outEnd"/>
              <c:showVal val="1"/>
            </c:dLbl>
            <c:txPr>
              <a:bodyPr/>
              <a:lstStyle/>
              <a:p>
                <a:pPr>
                  <a:defRPr sz="1200"/>
                </a:pPr>
                <a:endParaRPr lang="en-US"/>
              </a:p>
            </c:txPr>
            <c:dLblPos val="outEnd"/>
            <c:showVal val="1"/>
          </c:dLbls>
          <c:cat>
            <c:strRef>
              <c:f>'MAIN Mln GEL'!$B$1:$E$1</c:f>
              <c:strCache>
                <c:ptCount val="4"/>
                <c:pt idx="0">
                  <c:v>2010 I</c:v>
                </c:pt>
                <c:pt idx="1">
                  <c:v>2010 II</c:v>
                </c:pt>
                <c:pt idx="2">
                  <c:v>2011 I</c:v>
                </c:pt>
                <c:pt idx="3">
                  <c:v>2011 II</c:v>
                </c:pt>
              </c:strCache>
            </c:strRef>
          </c:cat>
          <c:val>
            <c:numRef>
              <c:f>'MAIN Mln GEL'!$B$2:$E$2</c:f>
              <c:numCache>
                <c:formatCode>0.00</c:formatCode>
                <c:ptCount val="4"/>
                <c:pt idx="0">
                  <c:v>4.84</c:v>
                </c:pt>
                <c:pt idx="1">
                  <c:v>5.74</c:v>
                </c:pt>
                <c:pt idx="2">
                  <c:v>5.72</c:v>
                </c:pt>
                <c:pt idx="3">
                  <c:v>6.1199999999999966</c:v>
                </c:pt>
              </c:numCache>
            </c:numRef>
          </c:val>
        </c:ser>
        <c:ser>
          <c:idx val="1"/>
          <c:order val="1"/>
          <c:tx>
            <c:strRef>
              <c:f>'MAIN Mln GEL'!$A$3</c:f>
              <c:strCache>
                <c:ptCount val="1"/>
                <c:pt idx="0">
                  <c:v>პროდუქციის გამოშვება</c:v>
                </c:pt>
              </c:strCache>
            </c:strRef>
          </c:tx>
          <c:dLbls>
            <c:txPr>
              <a:bodyPr/>
              <a:lstStyle/>
              <a:p>
                <a:pPr>
                  <a:defRPr sz="1200"/>
                </a:pPr>
                <a:endParaRPr lang="en-US"/>
              </a:p>
            </c:txPr>
            <c:dLblPos val="outEnd"/>
            <c:showVal val="1"/>
          </c:dLbls>
          <c:cat>
            <c:strRef>
              <c:f>'MAIN Mln GEL'!$B$1:$E$1</c:f>
              <c:strCache>
                <c:ptCount val="4"/>
                <c:pt idx="0">
                  <c:v>2010 I</c:v>
                </c:pt>
                <c:pt idx="1">
                  <c:v>2010 II</c:v>
                </c:pt>
                <c:pt idx="2">
                  <c:v>2011 I</c:v>
                </c:pt>
                <c:pt idx="3">
                  <c:v>2011 II</c:v>
                </c:pt>
              </c:strCache>
            </c:strRef>
          </c:cat>
          <c:val>
            <c:numRef>
              <c:f>'MAIN Mln GEL'!$B$3:$E$3</c:f>
              <c:numCache>
                <c:formatCode>0.00</c:formatCode>
                <c:ptCount val="4"/>
                <c:pt idx="0">
                  <c:v>2.5499999999999998</c:v>
                </c:pt>
                <c:pt idx="1">
                  <c:v>2.98</c:v>
                </c:pt>
                <c:pt idx="2">
                  <c:v>2.96</c:v>
                </c:pt>
                <c:pt idx="3">
                  <c:v>3.34</c:v>
                </c:pt>
              </c:numCache>
            </c:numRef>
          </c:val>
        </c:ser>
        <c:dLbls>
          <c:showVal val="1"/>
        </c:dLbls>
        <c:axId val="72102656"/>
        <c:axId val="72104192"/>
      </c:barChart>
      <c:catAx>
        <c:axId val="72102656"/>
        <c:scaling>
          <c:orientation val="minMax"/>
        </c:scaling>
        <c:axPos val="b"/>
        <c:numFmt formatCode="General" sourceLinked="1"/>
        <c:tickLblPos val="nextTo"/>
        <c:txPr>
          <a:bodyPr/>
          <a:lstStyle/>
          <a:p>
            <a:pPr>
              <a:defRPr sz="1200"/>
            </a:pPr>
            <a:endParaRPr lang="en-US"/>
          </a:p>
        </c:txPr>
        <c:crossAx val="72104192"/>
        <c:crosses val="autoZero"/>
        <c:auto val="1"/>
        <c:lblAlgn val="ctr"/>
        <c:lblOffset val="100"/>
      </c:catAx>
      <c:valAx>
        <c:axId val="72104192"/>
        <c:scaling>
          <c:orientation val="minMax"/>
        </c:scaling>
        <c:axPos val="l"/>
        <c:majorGridlines/>
        <c:title>
          <c:tx>
            <c:rich>
              <a:bodyPr rot="-5400000" vert="horz"/>
              <a:lstStyle/>
              <a:p>
                <a:pPr>
                  <a:defRPr sz="1200"/>
                </a:pPr>
                <a:r>
                  <a:rPr lang="ka-GE" sz="1200"/>
                  <a:t>მილიარდი  ლარი</a:t>
                </a:r>
                <a:endParaRPr lang="en-US" sz="1200"/>
              </a:p>
            </c:rich>
          </c:tx>
        </c:title>
        <c:numFmt formatCode="0.00" sourceLinked="1"/>
        <c:tickLblPos val="nextTo"/>
        <c:txPr>
          <a:bodyPr/>
          <a:lstStyle/>
          <a:p>
            <a:pPr>
              <a:defRPr sz="1200"/>
            </a:pPr>
            <a:endParaRPr lang="en-US"/>
          </a:p>
        </c:txPr>
        <c:crossAx val="72102656"/>
        <c:crosses val="autoZero"/>
        <c:crossBetween val="between"/>
      </c:valAx>
    </c:plotArea>
    <c:legend>
      <c:legendPos val="b"/>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sz="1500"/>
            </a:pPr>
            <a:r>
              <a:rPr lang="ka-GE" sz="1500"/>
              <a:t>ბიზნეს სექტორში დასაქმებულთა რაოდენობის ცვლილება კვარტლების მიხედვით</a:t>
            </a:r>
            <a:endParaRPr lang="en-US" sz="1500"/>
          </a:p>
        </c:rich>
      </c:tx>
      <c:overlay val="1"/>
    </c:title>
    <c:plotArea>
      <c:layout>
        <c:manualLayout>
          <c:layoutTarget val="inner"/>
          <c:xMode val="edge"/>
          <c:yMode val="edge"/>
          <c:x val="0.11251862040438053"/>
          <c:y val="0.21353814227865581"/>
          <c:w val="0.85630539943498762"/>
          <c:h val="0.62980647927308486"/>
        </c:manualLayout>
      </c:layout>
      <c:barChart>
        <c:barDir val="col"/>
        <c:grouping val="clustered"/>
        <c:ser>
          <c:idx val="0"/>
          <c:order val="0"/>
          <c:tx>
            <c:strRef>
              <c:f>'MAIN Mln GEL (2)'!$A$2</c:f>
              <c:strCache>
                <c:ptCount val="1"/>
                <c:pt idx="0">
                  <c:v>ბრუნვა</c:v>
                </c:pt>
              </c:strCache>
            </c:strRef>
          </c:tx>
          <c:dLbls>
            <c:dLbl>
              <c:idx val="3"/>
              <c:layout>
                <c:manualLayout>
                  <c:x val="3.3333328958880712E-3"/>
                  <c:y val="7.5268819328558438E-3"/>
                </c:manualLayout>
              </c:layout>
              <c:dLblPos val="outEnd"/>
              <c:showVal val="1"/>
            </c:dLbl>
            <c:txPr>
              <a:bodyPr/>
              <a:lstStyle/>
              <a:p>
                <a:pPr>
                  <a:defRPr sz="1300"/>
                </a:pPr>
                <a:endParaRPr lang="en-US"/>
              </a:p>
            </c:txPr>
            <c:dLblPos val="outEnd"/>
            <c:showVal val="1"/>
          </c:dLbls>
          <c:cat>
            <c:strRef>
              <c:f>'MAIN Mln GEL (2)'!$B$1:$E$1</c:f>
              <c:strCache>
                <c:ptCount val="4"/>
                <c:pt idx="0">
                  <c:v>2010 I</c:v>
                </c:pt>
                <c:pt idx="1">
                  <c:v>2010 II</c:v>
                </c:pt>
                <c:pt idx="2">
                  <c:v>2011 I</c:v>
                </c:pt>
                <c:pt idx="3">
                  <c:v>2011 II</c:v>
                </c:pt>
              </c:strCache>
            </c:strRef>
          </c:cat>
          <c:val>
            <c:numRef>
              <c:f>'MAIN Mln GEL (2)'!$B$2:$E$2</c:f>
              <c:numCache>
                <c:formatCode>0.0</c:formatCode>
                <c:ptCount val="4"/>
                <c:pt idx="0">
                  <c:v>358.9</c:v>
                </c:pt>
                <c:pt idx="1">
                  <c:v>371.3</c:v>
                </c:pt>
                <c:pt idx="2" formatCode="0.0_);\(0.0\);\_">
                  <c:v>350.3</c:v>
                </c:pt>
                <c:pt idx="3" formatCode="0.0_);\(0.0\);\_">
                  <c:v>352.1</c:v>
                </c:pt>
              </c:numCache>
            </c:numRef>
          </c:val>
        </c:ser>
        <c:dLbls>
          <c:showVal val="1"/>
        </c:dLbls>
        <c:axId val="72407680"/>
        <c:axId val="72495488"/>
      </c:barChart>
      <c:catAx>
        <c:axId val="72407680"/>
        <c:scaling>
          <c:orientation val="minMax"/>
        </c:scaling>
        <c:axPos val="b"/>
        <c:numFmt formatCode="General" sourceLinked="1"/>
        <c:tickLblPos val="nextTo"/>
        <c:txPr>
          <a:bodyPr/>
          <a:lstStyle/>
          <a:p>
            <a:pPr>
              <a:defRPr sz="1200"/>
            </a:pPr>
            <a:endParaRPr lang="en-US"/>
          </a:p>
        </c:txPr>
        <c:crossAx val="72495488"/>
        <c:crosses val="autoZero"/>
        <c:auto val="1"/>
        <c:lblAlgn val="ctr"/>
        <c:lblOffset val="100"/>
      </c:catAx>
      <c:valAx>
        <c:axId val="72495488"/>
        <c:scaling>
          <c:orientation val="minMax"/>
          <c:max val="400"/>
          <c:min val="280"/>
        </c:scaling>
        <c:axPos val="l"/>
        <c:majorGridlines/>
        <c:title>
          <c:tx>
            <c:rich>
              <a:bodyPr rot="-5400000" vert="horz"/>
              <a:lstStyle/>
              <a:p>
                <a:pPr>
                  <a:defRPr sz="1300"/>
                </a:pPr>
                <a:r>
                  <a:rPr lang="ka-GE" sz="1300"/>
                  <a:t>ათასი  კაცი</a:t>
                </a:r>
                <a:endParaRPr lang="en-US" sz="1300"/>
              </a:p>
            </c:rich>
          </c:tx>
        </c:title>
        <c:numFmt formatCode="0" sourceLinked="0"/>
        <c:tickLblPos val="nextTo"/>
        <c:txPr>
          <a:bodyPr/>
          <a:lstStyle/>
          <a:p>
            <a:pPr>
              <a:defRPr sz="1200"/>
            </a:pPr>
            <a:endParaRPr lang="en-US"/>
          </a:p>
        </c:txPr>
        <c:crossAx val="72407680"/>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6BF59-07F7-487D-B083-AEBDE13C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SDSG</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gogita</dc:creator>
  <cp:keywords/>
  <dc:description/>
  <cp:lastModifiedBy>gogita</cp:lastModifiedBy>
  <cp:revision>3</cp:revision>
  <cp:lastPrinted>2009-09-05T07:45:00Z</cp:lastPrinted>
  <dcterms:created xsi:type="dcterms:W3CDTF">2011-09-07T08:38:00Z</dcterms:created>
  <dcterms:modified xsi:type="dcterms:W3CDTF">2011-09-07T08:46:00Z</dcterms:modified>
</cp:coreProperties>
</file>